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E785D" w:rsidRPr="00E31B0E" w:rsidTr="0080025A">
        <w:trPr>
          <w:trHeight w:val="2317"/>
        </w:trPr>
        <w:tc>
          <w:tcPr>
            <w:tcW w:w="4394" w:type="dxa"/>
          </w:tcPr>
          <w:p w:rsidR="000E785D" w:rsidRPr="00E31B0E" w:rsidRDefault="000E785D" w:rsidP="0080025A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E31B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Додаток 7</w:t>
            </w:r>
          </w:p>
          <w:p w:rsidR="000E785D" w:rsidRPr="00E31B0E" w:rsidRDefault="000E785D" w:rsidP="00800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31B0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 Акта</w:t>
            </w:r>
            <w:r w:rsidRPr="00E31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31B0E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складеного за результатом проведення планового (позапланового) заходу державного нагляду (контролю) щодо додержання суб’єктом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      </w:r>
          </w:p>
        </w:tc>
      </w:tr>
    </w:tbl>
    <w:p w:rsidR="000E785D" w:rsidRPr="00E31B0E" w:rsidRDefault="000E785D" w:rsidP="000E7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E785D" w:rsidRPr="00E31B0E" w:rsidRDefault="000E785D" w:rsidP="000E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bookmarkStart w:id="1" w:name="_Hlk483261314"/>
      <w:r w:rsidRPr="00E31B0E">
        <w:rPr>
          <w:rFonts w:ascii="Times New Roman" w:eastAsia="Arial Unicode MS" w:hAnsi="Times New Roman" w:cs="Times New Roman"/>
          <w:sz w:val="28"/>
          <w:szCs w:val="28"/>
          <w:lang w:val="uk-UA"/>
        </w:rPr>
        <w:t>Перелік питань</w:t>
      </w:r>
    </w:p>
    <w:p w:rsidR="000E785D" w:rsidRPr="00E31B0E" w:rsidRDefault="000E785D" w:rsidP="000E7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E31B0E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щодо проведення планового (позапланового) заходу державного нагляду (контролю) за додержанням вимог законодавства </w:t>
      </w:r>
      <w:r w:rsidRPr="00E31B0E">
        <w:rPr>
          <w:rFonts w:ascii="Times New Roman" w:eastAsia="Arial Unicode MS" w:hAnsi="Times New Roman" w:cs="Times New Roman"/>
          <w:sz w:val="28"/>
          <w:szCs w:val="28"/>
          <w:lang w:val="uk-UA"/>
        </w:rPr>
        <w:t>про охорону, використання та відтворення водних біоресурсів</w:t>
      </w:r>
      <w:bookmarkEnd w:id="1"/>
    </w:p>
    <w:tbl>
      <w:tblPr>
        <w:tblW w:w="5383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135"/>
        <w:gridCol w:w="1441"/>
        <w:gridCol w:w="1813"/>
        <w:gridCol w:w="606"/>
        <w:gridCol w:w="527"/>
        <w:gridCol w:w="1227"/>
        <w:gridCol w:w="1749"/>
      </w:tblGrid>
      <w:tr w:rsidR="00527F53" w:rsidRPr="00E31B0E" w:rsidTr="007A060F">
        <w:trPr>
          <w:jc w:val="center"/>
        </w:trPr>
        <w:tc>
          <w:tcPr>
            <w:tcW w:w="280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393CF3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Arial Unicode MS" w:hAnsi="Times New Roman" w:cs="Times New Roman"/>
                <w:sz w:val="28"/>
                <w:szCs w:val="28"/>
                <w:lang w:val="uk-UA"/>
              </w:rPr>
              <w:br w:type="page"/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1061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393CF3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716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260A94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Ступінь ризику суб'єкта господа-</w:t>
            </w:r>
            <w:proofErr w:type="spellStart"/>
            <w:r w:rsidR="00393CF3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vAlign w:val="center"/>
          </w:tcPr>
          <w:p w:rsidR="00393CF3" w:rsidRPr="00E31B0E" w:rsidRDefault="00393CF3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Позиція суб'єкта господарювання щодо негативного впливу вимоги законодавства (від </w:t>
            </w:r>
            <w:r w:rsidR="00260A9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до 4 балів)</w:t>
            </w:r>
          </w:p>
        </w:tc>
        <w:tc>
          <w:tcPr>
            <w:tcW w:w="1173" w:type="pct"/>
            <w:gridSpan w:val="3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vAlign w:val="center"/>
          </w:tcPr>
          <w:p w:rsidR="00393CF3" w:rsidRPr="00E31B0E" w:rsidRDefault="00393CF3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869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393CF3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393CF3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1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393CF3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6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393CF3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393CF3" w:rsidRPr="00E31B0E" w:rsidRDefault="00393CF3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A95058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393CF3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3CF3" w:rsidRPr="00E31B0E" w:rsidRDefault="00A95058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93CF3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0A94" w:rsidRPr="00E31B0E" w:rsidRDefault="00A95058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260A9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 </w:t>
            </w:r>
            <w:proofErr w:type="spellStart"/>
            <w:r w:rsidR="00260A9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розгля</w:t>
            </w:r>
            <w:proofErr w:type="spellEnd"/>
            <w:r w:rsidR="00260A9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93CF3" w:rsidRPr="00E31B0E" w:rsidRDefault="00260A94" w:rsidP="00260A9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далося</w:t>
            </w:r>
          </w:p>
        </w:tc>
        <w:tc>
          <w:tcPr>
            <w:tcW w:w="869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CF3" w:rsidRPr="00E31B0E" w:rsidRDefault="00393CF3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60A94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Спеціальне використання водних біоресурсів здійснюється у внутрішніх рибогосподарських водних об'єктах (їх частинах), внутрішніх морських водах, територіальному морі, виключній (морській) економічній зоні та на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континентальному шельфі України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4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17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частина третя </w:t>
            </w:r>
            <w:hyperlink r:id="rId5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3677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Порядок, затверджений </w:t>
            </w:r>
            <w:proofErr w:type="spellStart"/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instrText xml:space="preserve"> HYPERLINK "http://search.ligazakon.ua/l_doc2.nsf/link1/KP150992.html" \t "_top" </w:instrTex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ПКМУ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992</w: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260A94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Суб'єкт рибного господарства додержується правил рибальства: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auto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869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1B0E" w:rsidRPr="00E31B0E" w:rsidRDefault="00AE38D5" w:rsidP="00E31B0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Абзаци четвертий, шостий </w:t>
            </w:r>
            <w:hyperlink r:id="rId6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85</w:t>
              </w:r>
              <w:r w:rsidR="00E31B0E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КУпАП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E38D5" w:rsidRPr="00E31B0E" w:rsidRDefault="00AE38D5" w:rsidP="00E31B0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hyperlink r:id="rId7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13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8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17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абзац третій частини першої </w:t>
            </w:r>
            <w:hyperlink r:id="rId9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35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3677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Правила, затверджені </w:t>
            </w:r>
            <w:r w:rsidR="007A06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hyperlink r:id="rId10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33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рибогосподарських водних об'єктах України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тимчасових правил та режимів рибальства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1026BB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1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 </w:t>
              </w:r>
              <w:proofErr w:type="spellStart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Держкомрибгоспу</w:t>
              </w:r>
              <w:proofErr w:type="spellEnd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172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Режим рибогосподарської експлуатації водного об'єкта виконується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 2.1.2 пункту 2.1 Інструкції, затвердженої </w:t>
            </w:r>
            <w:hyperlink r:id="rId12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4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розроблений на підставі науково-біологічного обґрунтування відповідає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7F53" w:rsidRPr="001026BB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Користувач, якому видано Режим, у разі неможливості виконання умов Режиму власними силами на підставі договору залучив інші організації або установи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2.8 розділу 2 Інструкції, затвердженої </w:t>
            </w:r>
            <w:hyperlink r:id="rId13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4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Експлуатація водозабірних споруд та інших об'єктів,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застосування технологій здійснюються за наявності рибозахисних пристроїв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1026BB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4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Стаття 86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1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 КУпАП</w:t>
              </w:r>
            </w:hyperlink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5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пункт 4 частини 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lastRenderedPageBreak/>
                <w:t xml:space="preserve">першої статті 98 </w:t>
              </w:r>
              <w:proofErr w:type="spellStart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ВКУ</w:t>
              </w:r>
              <w:proofErr w:type="spellEnd"/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Введення в дію водозабірних споруд здійснено за наявності рибозахисних пристроїв та облаштованих відповідно до затверджених проектів зон санітарної охорони водозаборів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1026BB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6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Стаття 86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1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 КУпАП</w:t>
              </w:r>
            </w:hyperlink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7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пункт 4 частини першої статті 98 </w:t>
              </w:r>
              <w:proofErr w:type="spellStart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ВКУ</w:t>
              </w:r>
              <w:proofErr w:type="spellEnd"/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Суб'єкти рибного господарства: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здійснюють комплексні </w:t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рибницько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-меліоративні заходи щодо охорони та відтворення, у тому числі штучного, водних біоресурсів, збереження і поліпшення умов їх існування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дев'ятий </w:t>
            </w:r>
            <w:hyperlink r:id="rId18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35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3677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додержуються встановленого режиму господарської діяльності на землях водного фонду та земельних ділянках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прибережних захисних смуг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1026BB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9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88</w:t>
              </w:r>
            </w:hyperlink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20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89 </w:t>
              </w:r>
              <w:proofErr w:type="spellStart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ВКУ</w:t>
              </w:r>
              <w:proofErr w:type="spellEnd"/>
            </w:hyperlink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E38D5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абзац шостий </w:t>
            </w:r>
            <w:hyperlink r:id="rId21" w:tgtFrame="_top" w:history="1"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35 </w:t>
              </w:r>
              <w:proofErr w:type="spellStart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AE38D5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3677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 проведенні фундаментальних та прикладних наукових, науково-дослідних і дослідно-конструкторських робіт обов'язково враховуються вимоги охорони навколишнього природного середовища, раціонального використання і відтворення природних ресурсів та забезпечення екологічної безпеки, а саме: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22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57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1264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частини третя, четверта </w:t>
            </w:r>
            <w:hyperlink r:id="rId23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28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частина перша </w:t>
            </w:r>
            <w:hyperlink r:id="rId24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37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25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37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1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 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 щодо стану середовища існування диких тварин виконуються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26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37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1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 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наукових досліджень здійснюється за визначеними напрямами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27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37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  <w:lang w:val="uk-UA"/>
                </w:rPr>
                <w:t>1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 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вилучення об'єктів тваринного світу в наукових, культурно-освітніх, виховних та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естетичних цілях із природного середовища здійснюється за відповідними дозволами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28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28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Порядок, затверджений </w:t>
            </w:r>
            <w:proofErr w:type="spellStart"/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instrText xml:space="preserve"> HYPERLINK "http://search.ligazakon.ua/l_doc2.nsf/link1/KP150992.html" \t "_top" </w:instrTex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ПКМУ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992</w: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впровадження </w:t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відкриттів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винаходів, застосування нової техніки, імпортного устаткування, технологій і систем, що відповідають вимогам екологічної безпеки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29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57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1264</w:t>
              </w:r>
            </w:hyperlink>
          </w:p>
        </w:tc>
      </w:tr>
      <w:tr w:rsidR="00527F53" w:rsidRPr="00E31B0E" w:rsidTr="007A060F">
        <w:trPr>
          <w:jc w:val="center"/>
        </w:trPr>
        <w:tc>
          <w:tcPr>
            <w:tcW w:w="280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6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Рідкісні і такі, що перебувають під загрозою зникнення, види тваринного світу, які постійно або тимчасово перебувають (зростають) у природних умовах у межах території України, її континентального шельфу та виключної (морської) економічної зони, перебувають під особливою охороною</w:t>
            </w:r>
          </w:p>
        </w:tc>
        <w:tc>
          <w:tcPr>
            <w:tcW w:w="716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E38D5" w:rsidRPr="00E31B0E" w:rsidRDefault="00AE38D5" w:rsidP="00FA2913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9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60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AE38D5" w:rsidRPr="00E31B0E" w:rsidRDefault="00AE38D5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69" w:type="pc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38D5" w:rsidRPr="00E31B0E" w:rsidRDefault="00AE38D5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восьмий </w:t>
            </w:r>
            <w:hyperlink r:id="rId30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статті 37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1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стаття 44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</w:tbl>
    <w:p w:rsidR="005D3C74" w:rsidRPr="00E31B0E" w:rsidRDefault="005D3C74">
      <w:pPr>
        <w:rPr>
          <w:lang w:val="uk-UA"/>
        </w:rPr>
      </w:pPr>
      <w:r w:rsidRPr="00E31B0E">
        <w:rPr>
          <w:lang w:val="uk-UA"/>
        </w:rPr>
        <w:br w:type="page"/>
      </w:r>
    </w:p>
    <w:p w:rsidR="0080025A" w:rsidRPr="00E31B0E" w:rsidRDefault="0080025A" w:rsidP="00005B6F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8</w:t>
      </w: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до Акта, складеного за результатом проведення планового (позапланового) заходу державного нагляду (контролю) щодо додержання суб'єктом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</w:r>
    </w:p>
    <w:p w:rsidR="005D3C74" w:rsidRPr="00E31B0E" w:rsidRDefault="005D3C74" w:rsidP="00005B6F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C74" w:rsidRPr="00E31B0E" w:rsidRDefault="005D3C74" w:rsidP="00005B6F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C74" w:rsidRPr="00E31B0E" w:rsidRDefault="005D3C74" w:rsidP="00005B6F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025A" w:rsidRPr="00E31B0E" w:rsidRDefault="0080025A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питань</w:t>
      </w: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щодо проведення планового (позапланового) заходу державного нагляду (контролю) за додержанням вимог законодавства про охорону, утримання зоологічних колекцій, у тому числі диких тварин у неволі</w:t>
      </w:r>
    </w:p>
    <w:p w:rsidR="005D3C74" w:rsidRPr="00E31B0E" w:rsidRDefault="005D3C74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045"/>
        <w:gridCol w:w="1357"/>
        <w:gridCol w:w="1276"/>
        <w:gridCol w:w="567"/>
        <w:gridCol w:w="567"/>
        <w:gridCol w:w="992"/>
        <w:gridCol w:w="1837"/>
      </w:tblGrid>
      <w:tr w:rsidR="005D3C74" w:rsidRPr="00E31B0E" w:rsidTr="007A060F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C74" w:rsidRPr="00E31B0E" w:rsidRDefault="005D3C74" w:rsidP="007A060F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="00A9505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045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C74" w:rsidRPr="00E31B0E" w:rsidRDefault="005D3C74" w:rsidP="007A060F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357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C74" w:rsidRPr="00E31B0E" w:rsidRDefault="005D3C74" w:rsidP="007A060F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Ступінь ризику суб'єкта господа-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3C74" w:rsidRPr="00E31B0E" w:rsidRDefault="005D3C74" w:rsidP="007A060F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суб'єкта господарювання щодо негативного впливу вимоги законодавства (від 1 до 4 балів)</w:t>
            </w:r>
          </w:p>
        </w:tc>
        <w:tc>
          <w:tcPr>
            <w:tcW w:w="2126" w:type="dxa"/>
            <w:gridSpan w:val="3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5D3C74" w:rsidRPr="00E31B0E" w:rsidRDefault="005D3C74" w:rsidP="007A060F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1837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C74" w:rsidRPr="00E31B0E" w:rsidRDefault="005D3C74" w:rsidP="007A060F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5D3C74" w:rsidP="005D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5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5D3C74" w:rsidP="005D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5D3C74" w:rsidP="005D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5D3C74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A95058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D3C7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A95058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3C7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A95058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3C74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 розглядалося</w:t>
            </w:r>
          </w:p>
        </w:tc>
        <w:tc>
          <w:tcPr>
            <w:tcW w:w="1837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3C74" w:rsidRPr="00E31B0E" w:rsidRDefault="005D3C74" w:rsidP="005D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5D3C74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Утримання диких тварин у неволі здійснюється на підставі дозволу, виданого центральним органом виконавчої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влади, що реалізує державну політику у сфері охорони навколишнього природного середовища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Незначний 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32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8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3447</w:t>
              </w:r>
            </w:hyperlink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Законність набуття у приватну власність об'єктів тваринного світу (крім добутих у порядку загального використання) підтверджена відповідними документами, що засвідчують законність вилучення цих об'єктів з природного середовища, факту купівлі, обміну, отримання у спадок тощо, ввезення в Україну з інших країн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33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Дозвіл або сертифікат на ввезення в Україну і вивезення за її межі об'єктів тваринного світу наявний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21 Переліку документів дозвільного характеру у сфері господарської діяльності, затвердженого </w:t>
            </w:r>
            <w:proofErr w:type="spellStart"/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instrText xml:space="preserve"> HYPERLINK "http://search.ligazakon.ua/l_doc2.nsf/link1/T113392.html" \t "_top" </w:instrTex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3392</w: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Дозвіл на право займатися розведенням у напіввільних умовах чи в неволі видів тварин, занесених до Червоної книги України, наявний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51 Переліку документів дозвільного характеру у сфері господарської діяльності, затвердженого </w:t>
            </w:r>
            <w:proofErr w:type="spellStart"/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instrText xml:space="preserve"> HYPERLINK "http://search.ligazakon.ua/l_doc2.nsf/link1/T113392.html" \t "_top" </w:instrTex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3392</w: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Дозвіл на переселення тварин у нові місця перебування, акліматизацію нових для фауни України видів диких тварин, а також на здійснення заходів щодо схрещування диких тварин наявний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52 Переліку документів дозвільного характеру у сфері господарської діяльності, затвердженого </w:t>
            </w:r>
            <w:proofErr w:type="spellStart"/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instrText xml:space="preserve"> HYPERLINK "http://search.ligazakon.ua/l_doc2.nsf/link1/T113392.html" \t "_top" </w:instrTex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3392</w:t>
            </w:r>
            <w:r w:rsidR="001026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переселення тварин у нові місця перебування, акліматизація нових для фауни України видів диких тварин, а також заходи щодо схрещування диких тварин допускаються в науково-дослідних і господарських цілях з урахуванням науково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обґрунтованих експертних висновків та за дозволом центрального органу виконавчої влади, що забезпечує формування державної політики у сфері охорони навколишнього природного середовища, погодженим: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  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1837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34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50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5.1.1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центральним органом виконавчої влади, що реалізує державну політику у сфері лісового та мисливського господарства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5.1.2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центральним органом виконавчої влади, що реалізує державну політику у сфері рибного господарства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Умови утримання диких тварин у неволі дотримуються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35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8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3447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розділ III Порядку, затвердженого </w:t>
            </w:r>
            <w:hyperlink r:id="rId36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наказом N 429</w:t>
              </w:r>
            </w:hyperlink>
          </w:p>
        </w:tc>
      </w:tr>
      <w:tr w:rsidR="005D3C74" w:rsidRPr="00E31B0E" w:rsidTr="007A060F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4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Створення і поповнення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зоологічних колекцій (живих колекцій зоопарків, зоосадів, океанаріумів тощо, а також у вигляді колекцій опудал, препаратів, частин і залишків тварин) шляхом вилучення тварин з природного середовища провадяться за дозволами на спеціальне використання об'єктів тваринного світу, що видаються центральним органом виконавчої влади, що реалізує державну політику у сфері охорони навколишнього природного середовища</w:t>
            </w:r>
          </w:p>
        </w:tc>
        <w:tc>
          <w:tcPr>
            <w:tcW w:w="135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Незначний</w:t>
            </w:r>
          </w:p>
        </w:tc>
        <w:tc>
          <w:tcPr>
            <w:tcW w:w="127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37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37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lastRenderedPageBreak/>
                <w:t xml:space="preserve">46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пункт 67 Переліку документів дозвільного характеру у сфері господарської діяльності, що наведений у </w:t>
            </w:r>
            <w:hyperlink r:id="rId38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додатку до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3392</w:t>
              </w:r>
            </w:hyperlink>
          </w:p>
        </w:tc>
      </w:tr>
    </w:tbl>
    <w:p w:rsidR="00166C2D" w:rsidRPr="00E31B0E" w:rsidRDefault="00166C2D" w:rsidP="0080025A">
      <w:pPr>
        <w:shd w:val="clear" w:color="auto" w:fill="FFFFFF"/>
        <w:spacing w:after="0" w:line="290" w:lineRule="atLeast"/>
        <w:rPr>
          <w:rFonts w:ascii="Arial" w:eastAsia="Times New Roman" w:hAnsi="Arial" w:cs="Arial"/>
          <w:color w:val="2A2928"/>
          <w:sz w:val="19"/>
          <w:szCs w:val="19"/>
          <w:lang w:val="uk-UA"/>
        </w:rPr>
      </w:pPr>
    </w:p>
    <w:p w:rsidR="005D3C74" w:rsidRPr="00E31B0E" w:rsidRDefault="005D3C74">
      <w:pPr>
        <w:rPr>
          <w:rFonts w:ascii="Arial" w:eastAsia="Times New Roman" w:hAnsi="Arial" w:cs="Arial"/>
          <w:color w:val="2A2928"/>
          <w:sz w:val="19"/>
          <w:szCs w:val="19"/>
          <w:lang w:val="uk-UA"/>
        </w:rPr>
      </w:pPr>
      <w:r w:rsidRPr="00E31B0E">
        <w:rPr>
          <w:rFonts w:ascii="Arial" w:eastAsia="Times New Roman" w:hAnsi="Arial" w:cs="Arial"/>
          <w:color w:val="2A2928"/>
          <w:sz w:val="19"/>
          <w:szCs w:val="19"/>
          <w:lang w:val="uk-UA"/>
        </w:rPr>
        <w:br w:type="page"/>
      </w:r>
    </w:p>
    <w:p w:rsidR="0080025A" w:rsidRPr="00E31B0E" w:rsidRDefault="0080025A" w:rsidP="00166C2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9</w:t>
      </w: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до Акта, складеного за результатом проведення планового (позапланового) заходу державного нагляду (контролю) щодо додержання суб'єктом господарювання вимог законодавства у сфері охорони навколишнього природного середовища, раціонального використання, відтворення і охорони природних ресурсів</w:t>
      </w:r>
    </w:p>
    <w:p w:rsidR="005D3C74" w:rsidRPr="00E31B0E" w:rsidRDefault="005D3C74" w:rsidP="00166C2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C74" w:rsidRPr="00E31B0E" w:rsidRDefault="005D3C74" w:rsidP="00166C2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025A" w:rsidRPr="00E31B0E" w:rsidRDefault="0080025A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t>Перелік питань</w:t>
      </w:r>
      <w:r w:rsidRPr="00E31B0E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щодо проведення планового (позапланового) заходу державного нагляду (контролю) за додержанням вимог законодавства під час ведення мисливського господарства та здійснення полювання</w:t>
      </w:r>
    </w:p>
    <w:p w:rsidR="005D3C74" w:rsidRPr="00E31B0E" w:rsidRDefault="005D3C74" w:rsidP="0080025A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089"/>
        <w:gridCol w:w="1351"/>
        <w:gridCol w:w="1516"/>
        <w:gridCol w:w="512"/>
        <w:gridCol w:w="508"/>
        <w:gridCol w:w="715"/>
        <w:gridCol w:w="1950"/>
      </w:tblGrid>
      <w:tr w:rsidR="00365150" w:rsidRPr="00E31B0E" w:rsidTr="00F453A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5D3C74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 w:type="page"/>
            </w:r>
            <w:r w:rsidR="00A44DA6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365150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2089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365150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351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365150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Ступінь ризику суб'єкта господа-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рювання</w:t>
            </w:r>
            <w:proofErr w:type="spellEnd"/>
          </w:p>
        </w:tc>
        <w:tc>
          <w:tcPr>
            <w:tcW w:w="1516" w:type="dxa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150" w:rsidRPr="00E31B0E" w:rsidRDefault="00365150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суб'єкта господарювання щодо негативного впливу вимоги законодавства (від 1 до 4 балів)</w:t>
            </w:r>
          </w:p>
        </w:tc>
        <w:tc>
          <w:tcPr>
            <w:tcW w:w="1735" w:type="dxa"/>
            <w:gridSpan w:val="3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</w:tcPr>
          <w:p w:rsidR="00365150" w:rsidRPr="00E31B0E" w:rsidRDefault="00365150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 на питання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365150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Нормативне обґрунтування</w:t>
            </w:r>
          </w:p>
        </w:tc>
      </w:tr>
      <w:tr w:rsidR="00365150" w:rsidRPr="00E31B0E" w:rsidTr="00F453A8">
        <w:trPr>
          <w:jc w:val="center"/>
        </w:trPr>
        <w:tc>
          <w:tcPr>
            <w:tcW w:w="704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E31B0E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9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E31B0E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1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E31B0E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E31B0E" w:rsidRDefault="00365150" w:rsidP="00365150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F453A8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365150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F453A8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65150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5150" w:rsidRPr="00E31B0E" w:rsidRDefault="00F453A8" w:rsidP="00F453A8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365150"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 розглядалося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150" w:rsidRPr="00E31B0E" w:rsidRDefault="00365150" w:rsidP="0036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Мисливські угіддя для ведення мисливського господарства надані у користування Верховною Радою Автономної Республіки Крим, обласними,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Київською та Севастопольською міськими радами за поданням центрального органу виконавчої влади, що реалізує державну політику у сфері лісового та мисливського господарства, погодженим з: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39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22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Радою міністрів Автономної Республіки Крим, обласними, Київською та Севастопольською міськими державними адміністраціями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власником земельних ділянок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користувачем земельних ділянок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Мисливські угіддя надані у користування відповідно до частини другої статті 22 </w:t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N 1478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40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22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Площа мисливських угідь, що надана користувачеві, становить не менше 3 тисяч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гектарів, але не більше ніж 35 відсотків від загальної площі мисливських угідь Автономної Республіки Крим, області та м. Севастополя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41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22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 організації та розвитку мисливського господарства розроблено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42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28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погоджено центральним органом виконавчої влади, що реалізує державну політику у сфері лісового та мисливського господарства, органом виконавчої влади Автономної Республіки Крим з питань охорони навколишнього природного середовища, органом виконавчої влади Автономної Республіки Крим у галузі лісового і мисливського господарства та полювання,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обласними, Київською, Севастопольською міськими державними адміністраціями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Умови ведення мисливського господарства визначені у договорі, який укладено між центральним органом виконавчої влади, що реалізує державну політику у сфері лісового та мисливського господарства, і користувачем мисливських угідь, дотримуються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43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21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Відносини між власниками або користувачами земельних ділянок і користувачами мисливських угідь урегульовані відповідними договорами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шоста </w:t>
            </w:r>
            <w:hyperlink r:id="rId44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21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умови дотримуються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7A060F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Строки полювання (конкретна дата відкриття та закриття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полювання на певний вид мисливських тварин, дні полювання протягом тижня) та порядок його здійснення, а також норма добування мисливських тварин визначені користувачем мисливських угідь у межах строків, визначених </w:t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ЗУ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06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1478, за погодженням з центральним органом виконавчої влади, що реалізує державну політику у сфері лісового та мисливського господарства, обласними, Київською, Севастопольською міськими державними адміністраціями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45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19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A70F14" w:rsidRPr="00A70F14" w:rsidTr="00A70F14">
        <w:trPr>
          <w:trHeight w:val="2176"/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E31B0E" w:rsidRDefault="00A70F14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0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Default="00A70F14" w:rsidP="00A70F14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0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строки полювання (конкретна дата відкриття та закриття полювання на певний вид мисливських тварин, дні полювання </w:t>
            </w:r>
            <w:r w:rsidRPr="00A70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тижня) та порядок його здійснення, а також норма добування мисливських тварин визначені користувачем мисливських угідь доведено користувачем мисливських угідь до відома громадськості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A70F14" w:rsidRDefault="00A70F14" w:rsidP="00A70F14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0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A70F14" w:rsidRPr="00A70F14" w:rsidRDefault="00A70F14" w:rsidP="00A70F14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0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A70F14" w:rsidRPr="00E31B0E" w:rsidRDefault="00A70F14" w:rsidP="00A70F14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0F1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E31B0E" w:rsidRDefault="00A70F14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E31B0E" w:rsidRDefault="00A70F14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E31B0E" w:rsidRDefault="00A70F14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E31B0E" w:rsidRDefault="00A70F14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F14" w:rsidRPr="00E31B0E" w:rsidRDefault="00A70F14" w:rsidP="00A7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46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19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№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Користувачем мисливських угідь: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</w:t>
            </w: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виконуються </w:t>
            </w: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біотехнічні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заходи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третій частини другої </w:t>
            </w:r>
            <w:hyperlink r:id="rId47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виділяються мисливські угіддя для охорони і відтворення мисливських тварин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третій частини другої </w:t>
            </w:r>
            <w:hyperlink r:id="rId48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визначається пропускна спроможність мисливських угідь та забезпечується їх упорядкування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третій частини другої </w:t>
            </w:r>
            <w:hyperlink r:id="rId49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8.3.1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пропускна спроможність мисливських угідь встановлена за погодженням з центральним органом виконавчої влади, що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реалізує державну політику у сфері лісового та мисливського господарства, та обласними, Київською, Севастопольською міськими державними адміністраціями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третя </w:t>
            </w:r>
            <w:hyperlink r:id="rId50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додержується режим охорони тварин, занесених до Червоної книги України і включених до переліків видів тварин, які підлягають особливій охороні на території Автономної Республіки Крим та областей, у межах наданих у користування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дев'ятий частини другої </w:t>
            </w:r>
            <w:hyperlink r:id="rId51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встановлено ліміт використання мисливських тварин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другий частини другої </w:t>
            </w:r>
            <w:hyperlink r:id="rId52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8.6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проводяться комплексні заходи, спрямовані на відтворення, у тому числі штучне, мисливських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тварин, збереження і поліпшення середовища їх перебування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Абзац дванадцятий частини другої </w:t>
            </w:r>
            <w:hyperlink r:id="rId53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30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8.6.1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щороку вкладаються кошти на їх охорону і відтворення з розрахунку на одну тисячу гектарів лісових угідь не менше тридцяти, польових - двадцяти п'яти, водно-болотних - двадцяти неоподатковуваних мінімумів доходів громадян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Дозвіл на добування мисливських тварин для наукових цілей, який видається центральним органом виконавчої влади, що забезпечує формування державної політики у сфері охорони навколишнього природного середовища, наявний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шоста </w:t>
            </w:r>
            <w:hyperlink r:id="rId54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33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Дозвіл на переселення мисливських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тварин в нові місця перебування, який видається центральним органом виконавчої влади, що забезпечує формування державної політики у сфері охорони навколишнього природного середовища, наявний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Дозвіл на збирання пташиних яєць, який видається центральним органом виконавчої влади, що забезпечує формування державної політики у сфері охорони навколишнього природного середовища, наявний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Користувачем в межах мисливських угідь не менш як 20 відсотків площі угідь, на яких полювання забороняється, виділено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55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27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Відстрільні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картки видаються мисливцям користувачем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сьома </w:t>
            </w:r>
            <w:hyperlink r:id="rId56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17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відстрільні</w:t>
            </w:r>
            <w:proofErr w:type="spellEnd"/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картки видаються мисливцям із зазначенням у них терміну та місця здійснення полювання з урахуванням лімітів добування мисливських тварин та пропускної спроможності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дев'ята </w:t>
            </w:r>
            <w:hyperlink r:id="rId57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17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Селекційний та вибірковий діагностичний відстріли мисливських тварин для ветеринарно-санітарної експертизи проводяться незалежно від строків мисливського сезону працівниками, уповноваженими здійснювати охорону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перша </w:t>
            </w:r>
            <w:hyperlink r:id="rId58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32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14.1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селекційний та вибірковий діагностичний відстріли мисливських тварин для ветеринарно-санітарної експертизи проводяться за дозволом центрального органу виконавчої влади, що реалізує державну політику у сфері лісового та мисливського господарства, а в межах територій та об'єктів природно-заповідного фонду за дозволом обласних, Київської, Севастопольської міських державних адміністрацій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1026BB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Діагностичний відстріл з метою оцінки епізоотичної ситуації та вивчення стану захворювань серед мисливських тварин проводиться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2.1 розділу II Інструкції, затвердженої </w:t>
            </w:r>
            <w:hyperlink r:id="rId59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60</w:t>
              </w:r>
            </w:hyperlink>
          </w:p>
        </w:tc>
      </w:tr>
      <w:tr w:rsidR="00365150" w:rsidRPr="001026BB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Дозволи на діагностичний відстріл видано працівникам, які уповноважені здійснювати охорону мисливських угідь, а для територій та об'єктів природно-заповідного фонду - працівникам, які уповноважені здійснювати охорону територій природно-заповідного фонду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3.6 розділу III Інструкції, затвердженої </w:t>
            </w:r>
            <w:hyperlink r:id="rId60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60</w:t>
              </w:r>
            </w:hyperlink>
          </w:p>
        </w:tc>
      </w:tr>
      <w:tr w:rsidR="00365150" w:rsidRPr="001026BB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добуті у порядку діагностичного відстрілу тварини реєструються у спеціальному журналі (що ведеться користувачем мисливських угідь), який: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458D7" w:rsidRPr="00E31B0E" w:rsidRDefault="00D458D7" w:rsidP="00D458D7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5.3 розділу V Інструкції, затвердженої </w:t>
            </w:r>
            <w:hyperlink r:id="rId61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60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прошнурований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пронумерований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скріплений печаткою та підписом керівника користувача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1026BB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Селекційний відстріл щодо хворих, поранених тварин, старих особин з явними ознаками деградації, дворічного нерозвинутого молодняку, тварин з нехарактерним для виду забарвленням, а при відстрілі самців оленів, лосів, ланей, козуль - особин з недорозвинутими рогами здійснюється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2.1 розділу II Інструкції, затвердженої </w:t>
            </w:r>
            <w:hyperlink r:id="rId62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57</w:t>
              </w:r>
            </w:hyperlink>
          </w:p>
        </w:tc>
      </w:tr>
      <w:tr w:rsidR="00365150" w:rsidRPr="001026BB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Користувачем мисливських угідь облік добутих під час селекційного відстрілу тварин здійснюється у спеціальному журналі, який: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4.2 розділу IV Інструкції, затвердженої </w:t>
            </w:r>
            <w:hyperlink r:id="rId63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57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прошнурований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пронумерований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скріплений печаткою та підписом керівника користувача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відтворювальних ділянок погоджено з власником або користувачем земельної ділянки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 3.1 розділу 3 Порядку, затвердженого </w:t>
            </w:r>
            <w:hyperlink r:id="rId64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наказом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4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оформлено наказом користувача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Законність набуття у приватну власність об'єктів тваринного світу (крім добутих у порядку загального використання) підтверджена відповідними документами, що засвідчують законність вилучення цих об'єктів з природного середовища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65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7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2894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Користувачем угідь створено єгерську службу з розрахунку не менш як один єгер на п'ять тисяч гектарів лісових або десять тисяч гектарів польових чи </w:t>
            </w: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водно-болотних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1026BB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6" w:tgtFrame="_top" w:history="1">
              <w:r w:rsidR="0080025A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Стаття 29 </w:t>
              </w:r>
              <w:proofErr w:type="spellStart"/>
              <w:r w:rsidR="0080025A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="0080025A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D41F25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="0080025A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  <w:tr w:rsidR="00365150" w:rsidRPr="00E31B0E" w:rsidTr="00E31B0E">
        <w:trPr>
          <w:jc w:val="center"/>
        </w:trPr>
        <w:tc>
          <w:tcPr>
            <w:tcW w:w="70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08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Умови організації та здійснення полювання іноземцями, розмір плати за надані послуги і добуту продукцію полювання визначено відповідним договором, укладеним між іноземцями або юридичними особами, які організовують для них полювання, та користувачами мисливських угідь</w:t>
            </w:r>
          </w:p>
        </w:tc>
        <w:tc>
          <w:tcPr>
            <w:tcW w:w="135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E621C9" w:rsidRPr="00E31B0E" w:rsidRDefault="00E621C9" w:rsidP="00E621C9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51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12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50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1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80025A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95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25A" w:rsidRPr="00E31B0E" w:rsidRDefault="0080025A" w:rsidP="00A44DA6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1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Частина друга </w:t>
            </w:r>
            <w:hyperlink r:id="rId67" w:tgtFrame="_top" w:history="1"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статті 13 </w:t>
              </w:r>
              <w:proofErr w:type="spellStart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ЗУ</w:t>
              </w:r>
              <w:proofErr w:type="spellEnd"/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A44DA6"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E31B0E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 xml:space="preserve"> 1478</w:t>
              </w:r>
            </w:hyperlink>
          </w:p>
        </w:tc>
      </w:tr>
    </w:tbl>
    <w:p w:rsidR="0080025A" w:rsidRPr="00E31B0E" w:rsidRDefault="0080025A" w:rsidP="003651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025A" w:rsidRPr="00E3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5D"/>
    <w:rsid w:val="00005B6F"/>
    <w:rsid w:val="000E785D"/>
    <w:rsid w:val="001026BB"/>
    <w:rsid w:val="00166C2D"/>
    <w:rsid w:val="00260A94"/>
    <w:rsid w:val="00260C7E"/>
    <w:rsid w:val="003329B6"/>
    <w:rsid w:val="00365150"/>
    <w:rsid w:val="00393CF3"/>
    <w:rsid w:val="003A42B6"/>
    <w:rsid w:val="00527F53"/>
    <w:rsid w:val="005506DB"/>
    <w:rsid w:val="005D3C74"/>
    <w:rsid w:val="007A060F"/>
    <w:rsid w:val="0080025A"/>
    <w:rsid w:val="009B33D0"/>
    <w:rsid w:val="00A44DA6"/>
    <w:rsid w:val="00A64A00"/>
    <w:rsid w:val="00A656F1"/>
    <w:rsid w:val="00A70F14"/>
    <w:rsid w:val="00A95058"/>
    <w:rsid w:val="00AE38D5"/>
    <w:rsid w:val="00C302B3"/>
    <w:rsid w:val="00C44D48"/>
    <w:rsid w:val="00CF424D"/>
    <w:rsid w:val="00D25503"/>
    <w:rsid w:val="00D41F25"/>
    <w:rsid w:val="00D458D7"/>
    <w:rsid w:val="00D5246C"/>
    <w:rsid w:val="00E31B0E"/>
    <w:rsid w:val="00E46D32"/>
    <w:rsid w:val="00E621C9"/>
    <w:rsid w:val="00F453A8"/>
    <w:rsid w:val="00F873DB"/>
    <w:rsid w:val="00F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1785-4467-44F9-9DE8-1ECB8E00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8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C44D48"/>
    <w:rPr>
      <w:rFonts w:ascii="Times New Roman" w:hAnsi="Times New Roman"/>
      <w:sz w:val="20"/>
    </w:rPr>
  </w:style>
  <w:style w:type="character" w:customStyle="1" w:styleId="30">
    <w:name w:val="Заголовок 3 Знак"/>
    <w:basedOn w:val="a0"/>
    <w:link w:val="3"/>
    <w:uiPriority w:val="9"/>
    <w:rsid w:val="008002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0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569">
          <w:marLeft w:val="653"/>
          <w:marRight w:val="653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377">
          <w:marLeft w:val="653"/>
          <w:marRight w:val="653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875">
          <w:marLeft w:val="653"/>
          <w:marRight w:val="653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RE14755.html" TargetMode="External"/><Relationship Id="rId18" Type="http://schemas.openxmlformats.org/officeDocument/2006/relationships/hyperlink" Target="http://search.ligazakon.ua/l_doc2.nsf/link1/T113677.html" TargetMode="External"/><Relationship Id="rId26" Type="http://schemas.openxmlformats.org/officeDocument/2006/relationships/hyperlink" Target="http://search.ligazakon.ua/l_doc2.nsf/link1/T012894.html" TargetMode="External"/><Relationship Id="rId39" Type="http://schemas.openxmlformats.org/officeDocument/2006/relationships/hyperlink" Target="http://search.ligazakon.ua/l_doc2.nsf/link1/T001478.html" TargetMode="External"/><Relationship Id="rId21" Type="http://schemas.openxmlformats.org/officeDocument/2006/relationships/hyperlink" Target="http://search.ligazakon.ua/l_doc2.nsf/link1/T113677.html" TargetMode="External"/><Relationship Id="rId34" Type="http://schemas.openxmlformats.org/officeDocument/2006/relationships/hyperlink" Target="http://search.ligazakon.ua/l_doc2.nsf/link1/T012894.html" TargetMode="External"/><Relationship Id="rId42" Type="http://schemas.openxmlformats.org/officeDocument/2006/relationships/hyperlink" Target="http://search.ligazakon.ua/l_doc2.nsf/link1/T001478.html" TargetMode="External"/><Relationship Id="rId47" Type="http://schemas.openxmlformats.org/officeDocument/2006/relationships/hyperlink" Target="http://search.ligazakon.ua/l_doc2.nsf/link1/T001478.html" TargetMode="External"/><Relationship Id="rId50" Type="http://schemas.openxmlformats.org/officeDocument/2006/relationships/hyperlink" Target="http://search.ligazakon.ua/l_doc2.nsf/link1/T001478.html" TargetMode="External"/><Relationship Id="rId55" Type="http://schemas.openxmlformats.org/officeDocument/2006/relationships/hyperlink" Target="http://search.ligazakon.ua/l_doc2.nsf/link1/T001478.html" TargetMode="External"/><Relationship Id="rId63" Type="http://schemas.openxmlformats.org/officeDocument/2006/relationships/hyperlink" Target="http://search.ligazakon.ua/l_doc2.nsf/link1/RE25190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search.ligazakon.ua/l_doc2.nsf/link1/T01289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KD0005.html" TargetMode="External"/><Relationship Id="rId29" Type="http://schemas.openxmlformats.org/officeDocument/2006/relationships/hyperlink" Target="http://search.ligazakon.ua/l_doc2.nsf/link1/T12640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D0005.html" TargetMode="External"/><Relationship Id="rId11" Type="http://schemas.openxmlformats.org/officeDocument/2006/relationships/hyperlink" Target="http://search.ligazakon.ua/l_doc2.nsf/link1/REG4264.html" TargetMode="External"/><Relationship Id="rId24" Type="http://schemas.openxmlformats.org/officeDocument/2006/relationships/hyperlink" Target="http://search.ligazakon.ua/l_doc2.nsf/link1/T012894.html" TargetMode="External"/><Relationship Id="rId32" Type="http://schemas.openxmlformats.org/officeDocument/2006/relationships/hyperlink" Target="http://search.ligazakon.ua/l_doc2.nsf/link1/T063447.html" TargetMode="External"/><Relationship Id="rId37" Type="http://schemas.openxmlformats.org/officeDocument/2006/relationships/hyperlink" Target="http://search.ligazakon.ua/l_doc2.nsf/link1/T012894.html" TargetMode="External"/><Relationship Id="rId40" Type="http://schemas.openxmlformats.org/officeDocument/2006/relationships/hyperlink" Target="http://search.ligazakon.ua/l_doc2.nsf/link1/T001478.html" TargetMode="External"/><Relationship Id="rId45" Type="http://schemas.openxmlformats.org/officeDocument/2006/relationships/hyperlink" Target="http://search.ligazakon.ua/l_doc2.nsf/link1/T001478.html" TargetMode="External"/><Relationship Id="rId53" Type="http://schemas.openxmlformats.org/officeDocument/2006/relationships/hyperlink" Target="http://search.ligazakon.ua/l_doc2.nsf/link1/T001478.html" TargetMode="External"/><Relationship Id="rId58" Type="http://schemas.openxmlformats.org/officeDocument/2006/relationships/hyperlink" Target="http://search.ligazakon.ua/l_doc2.nsf/link1/T001478.html" TargetMode="External"/><Relationship Id="rId66" Type="http://schemas.openxmlformats.org/officeDocument/2006/relationships/hyperlink" Target="http://search.ligazakon.ua/l_doc2.nsf/link1/T001478.html" TargetMode="External"/><Relationship Id="rId5" Type="http://schemas.openxmlformats.org/officeDocument/2006/relationships/hyperlink" Target="http://search.ligazakon.ua/l_doc2.nsf/link1/T113677.html" TargetMode="External"/><Relationship Id="rId15" Type="http://schemas.openxmlformats.org/officeDocument/2006/relationships/hyperlink" Target="http://search.ligazakon.ua/l_doc2.nsf/link1/Z950213.html" TargetMode="External"/><Relationship Id="rId23" Type="http://schemas.openxmlformats.org/officeDocument/2006/relationships/hyperlink" Target="http://search.ligazakon.ua/l_doc2.nsf/link1/T012894.html" TargetMode="External"/><Relationship Id="rId28" Type="http://schemas.openxmlformats.org/officeDocument/2006/relationships/hyperlink" Target="http://search.ligazakon.ua/l_doc2.nsf/link1/T012894.html" TargetMode="External"/><Relationship Id="rId36" Type="http://schemas.openxmlformats.org/officeDocument/2006/relationships/hyperlink" Target="http://search.ligazakon.ua/l_doc2.nsf/link1/RE18679.html" TargetMode="External"/><Relationship Id="rId49" Type="http://schemas.openxmlformats.org/officeDocument/2006/relationships/hyperlink" Target="http://search.ligazakon.ua/l_doc2.nsf/link1/T001478.html" TargetMode="External"/><Relationship Id="rId57" Type="http://schemas.openxmlformats.org/officeDocument/2006/relationships/hyperlink" Target="http://search.ligazakon.ua/l_doc2.nsf/link1/T001478.html" TargetMode="External"/><Relationship Id="rId61" Type="http://schemas.openxmlformats.org/officeDocument/2006/relationships/hyperlink" Target="http://search.ligazakon.ua/l_doc2.nsf/link1/RE25200.html" TargetMode="External"/><Relationship Id="rId10" Type="http://schemas.openxmlformats.org/officeDocument/2006/relationships/hyperlink" Target="http://search.ligazakon.ua/l_doc2.nsf/link1/REG3619.html" TargetMode="External"/><Relationship Id="rId19" Type="http://schemas.openxmlformats.org/officeDocument/2006/relationships/hyperlink" Target="http://search.ligazakon.ua/l_doc2.nsf/link1/Z950213.html" TargetMode="External"/><Relationship Id="rId31" Type="http://schemas.openxmlformats.org/officeDocument/2006/relationships/hyperlink" Target="http://search.ligazakon.ua/l_doc2.nsf/link1/T012894.html" TargetMode="External"/><Relationship Id="rId44" Type="http://schemas.openxmlformats.org/officeDocument/2006/relationships/hyperlink" Target="http://search.ligazakon.ua/l_doc2.nsf/link1/T001478.html" TargetMode="External"/><Relationship Id="rId52" Type="http://schemas.openxmlformats.org/officeDocument/2006/relationships/hyperlink" Target="http://search.ligazakon.ua/l_doc2.nsf/link1/T001478.html" TargetMode="External"/><Relationship Id="rId60" Type="http://schemas.openxmlformats.org/officeDocument/2006/relationships/hyperlink" Target="http://search.ligazakon.ua/l_doc2.nsf/link1/RE25200.html" TargetMode="External"/><Relationship Id="rId65" Type="http://schemas.openxmlformats.org/officeDocument/2006/relationships/hyperlink" Target="http://search.ligazakon.ua/l_doc2.nsf/link1/T012894.html" TargetMode="External"/><Relationship Id="rId4" Type="http://schemas.openxmlformats.org/officeDocument/2006/relationships/hyperlink" Target="http://search.ligazakon.ua/l_doc2.nsf/link1/T012894.html" TargetMode="External"/><Relationship Id="rId9" Type="http://schemas.openxmlformats.org/officeDocument/2006/relationships/hyperlink" Target="http://search.ligazakon.ua/l_doc2.nsf/link1/T113677.html" TargetMode="External"/><Relationship Id="rId14" Type="http://schemas.openxmlformats.org/officeDocument/2006/relationships/hyperlink" Target="http://search.ligazakon.ua/l_doc2.nsf/link1/KD0005.html" TargetMode="External"/><Relationship Id="rId22" Type="http://schemas.openxmlformats.org/officeDocument/2006/relationships/hyperlink" Target="http://search.ligazakon.ua/l_doc2.nsf/link1/T126400.html" TargetMode="External"/><Relationship Id="rId27" Type="http://schemas.openxmlformats.org/officeDocument/2006/relationships/hyperlink" Target="http://search.ligazakon.ua/l_doc2.nsf/link1/T012894.html" TargetMode="External"/><Relationship Id="rId30" Type="http://schemas.openxmlformats.org/officeDocument/2006/relationships/hyperlink" Target="http://search.ligazakon.ua/l_doc2.nsf/link1/T012894.html" TargetMode="External"/><Relationship Id="rId35" Type="http://schemas.openxmlformats.org/officeDocument/2006/relationships/hyperlink" Target="http://search.ligazakon.ua/l_doc2.nsf/link1/T063447.html" TargetMode="External"/><Relationship Id="rId43" Type="http://schemas.openxmlformats.org/officeDocument/2006/relationships/hyperlink" Target="http://search.ligazakon.ua/l_doc2.nsf/link1/T001478.html" TargetMode="External"/><Relationship Id="rId48" Type="http://schemas.openxmlformats.org/officeDocument/2006/relationships/hyperlink" Target="http://search.ligazakon.ua/l_doc2.nsf/link1/T001478.html" TargetMode="External"/><Relationship Id="rId56" Type="http://schemas.openxmlformats.org/officeDocument/2006/relationships/hyperlink" Target="http://search.ligazakon.ua/l_doc2.nsf/link1/T001478.html" TargetMode="External"/><Relationship Id="rId64" Type="http://schemas.openxmlformats.org/officeDocument/2006/relationships/hyperlink" Target="http://search.ligazakon.ua/l_doc2.nsf/link1/RE14755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search.ligazakon.ua/l_doc2.nsf/link1/T012894.html" TargetMode="External"/><Relationship Id="rId51" Type="http://schemas.openxmlformats.org/officeDocument/2006/relationships/hyperlink" Target="http://search.ligazakon.ua/l_doc2.nsf/link1/T001478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arch.ligazakon.ua/l_doc2.nsf/link1/RE14755.html" TargetMode="External"/><Relationship Id="rId17" Type="http://schemas.openxmlformats.org/officeDocument/2006/relationships/hyperlink" Target="http://search.ligazakon.ua/l_doc2.nsf/link1/Z950213.html" TargetMode="External"/><Relationship Id="rId25" Type="http://schemas.openxmlformats.org/officeDocument/2006/relationships/hyperlink" Target="http://search.ligazakon.ua/l_doc2.nsf/link1/T012894.html" TargetMode="External"/><Relationship Id="rId33" Type="http://schemas.openxmlformats.org/officeDocument/2006/relationships/hyperlink" Target="http://search.ligazakon.ua/l_doc2.nsf/link1/T012894.html" TargetMode="External"/><Relationship Id="rId38" Type="http://schemas.openxmlformats.org/officeDocument/2006/relationships/hyperlink" Target="http://search.ligazakon.ua/l_doc2.nsf/link1/T113392.html" TargetMode="External"/><Relationship Id="rId46" Type="http://schemas.openxmlformats.org/officeDocument/2006/relationships/hyperlink" Target="http://search.ligazakon.ua/l_doc2.nsf/link1/T001478.html" TargetMode="External"/><Relationship Id="rId59" Type="http://schemas.openxmlformats.org/officeDocument/2006/relationships/hyperlink" Target="http://search.ligazakon.ua/l_doc2.nsf/link1/RE25200.html" TargetMode="External"/><Relationship Id="rId67" Type="http://schemas.openxmlformats.org/officeDocument/2006/relationships/hyperlink" Target="http://search.ligazakon.ua/l_doc2.nsf/link1/T001478.html" TargetMode="External"/><Relationship Id="rId20" Type="http://schemas.openxmlformats.org/officeDocument/2006/relationships/hyperlink" Target="http://search.ligazakon.ua/l_doc2.nsf/link1/Z950213.html" TargetMode="External"/><Relationship Id="rId41" Type="http://schemas.openxmlformats.org/officeDocument/2006/relationships/hyperlink" Target="http://search.ligazakon.ua/l_doc2.nsf/link1/T001478.html" TargetMode="External"/><Relationship Id="rId54" Type="http://schemas.openxmlformats.org/officeDocument/2006/relationships/hyperlink" Target="http://search.ligazakon.ua/l_doc2.nsf/link1/T001478.html" TargetMode="External"/><Relationship Id="rId62" Type="http://schemas.openxmlformats.org/officeDocument/2006/relationships/hyperlink" Target="http://search.ligazakon.ua/l_doc2.nsf/link1/RE251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16161</Words>
  <Characters>9213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2019-03-28T08:17:00Z</dcterms:created>
  <dcterms:modified xsi:type="dcterms:W3CDTF">2019-03-28T08:17:00Z</dcterms:modified>
</cp:coreProperties>
</file>