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5F" w:rsidRPr="0016245F" w:rsidRDefault="0016245F" w:rsidP="00E74D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Аналіз регуляторного впливу</w:t>
      </w:r>
    </w:p>
    <w:p w:rsidR="0016245F" w:rsidRPr="0016245F" w:rsidRDefault="00473725" w:rsidP="00E74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</w:t>
      </w:r>
      <w:r w:rsidR="0016245F"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кту</w:t>
      </w:r>
      <w:proofErr w:type="spellEnd"/>
      <w:r w:rsidR="0016245F"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6245F" w:rsidRPr="001624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 Міністерства </w:t>
      </w:r>
      <w:r w:rsidR="00C23A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енергетики та захисту довкілля </w:t>
      </w:r>
      <w:r w:rsidR="0016245F" w:rsidRPr="001624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України «Про затвердження </w:t>
      </w:r>
      <w:r w:rsidR="00F03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Методики</w:t>
      </w:r>
      <w:r w:rsidR="0016245F"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03C91" w:rsidRPr="00F03C91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розрахунку розмірів відшкодування збитків, які заподіяні державі </w:t>
      </w:r>
      <w:r w:rsidR="00AC2767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 результаті наднормативних викидів забруднюючих речовин в атмосферне повітря</w:t>
      </w:r>
      <w:r w:rsidR="0016245F"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:rsidR="0016245F" w:rsidRPr="0016245F" w:rsidRDefault="0016245F" w:rsidP="00E74D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6245F" w:rsidRPr="0016245F" w:rsidRDefault="00F22EBE" w:rsidP="00E74D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І. </w:t>
      </w:r>
      <w:r w:rsidR="0016245F"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Визначення проблеми</w:t>
      </w:r>
    </w:p>
    <w:p w:rsidR="0016245F" w:rsidRPr="00E22E8B" w:rsidRDefault="0016245F" w:rsidP="00E74D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81D5E" w:rsidRPr="00B81D5E" w:rsidRDefault="00B81D5E" w:rsidP="00E74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Відповідно до пункту 1 частини першої с</w:t>
      </w:r>
      <w:r w:rsidRPr="00B81D5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таття 1 Закону України </w:t>
      </w:r>
      <w:r w:rsidR="00ED0232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>«Про охорону атмосферного повітря» (далі – Закон</w:t>
      </w:r>
      <w:bookmarkStart w:id="0" w:name="o19"/>
      <w:bookmarkEnd w:id="0"/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) атмосферне повітря - </w:t>
      </w:r>
      <w:r w:rsidR="00E22E8B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proofErr w:type="spellStart"/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>життєво</w:t>
      </w:r>
      <w:proofErr w:type="spellEnd"/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важливий компонент навколишнього природного середовища, який являє собою природну суміш газів, що знаходиться за межами жилих, виробничих та інших приміщень. Атмосферне повітря є одним з основних </w:t>
      </w:r>
      <w:proofErr w:type="spellStart"/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>життєво</w:t>
      </w:r>
      <w:proofErr w:type="spellEnd"/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-важливих елементів навколишнього природного середовища. Його забруднення є однією з найгостріших екологічних проблем багатьох міст України. Це пов’язано з високою концентрацією промислового виробництва, розвиненою транспортною інфраструктурою та щільністю населення. Наслідком цього є значне навантаження на біосферу. Небезпечний рівень забруднення атмосферного повітря є одним з факторів зростання рівня захворюваності та смертності населення країни. </w:t>
      </w:r>
    </w:p>
    <w:p w:rsidR="00B81D5E" w:rsidRPr="00B81D5E" w:rsidRDefault="00B81D5E" w:rsidP="00E74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Відповідно до статті 50 Конституції України кожен має право на безпечне для життя і здоров'я довкілля та на відшкодування завданої порушенням цього права шкоди.</w:t>
      </w:r>
    </w:p>
    <w:p w:rsidR="00B81D5E" w:rsidRPr="00B81D5E" w:rsidRDefault="00B81D5E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81D5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Статтею 2 Закону передбачено, що</w:t>
      </w:r>
      <w:bookmarkStart w:id="1" w:name="o32"/>
      <w:bookmarkEnd w:id="1"/>
      <w:r w:rsidRPr="00B81D5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в</w:t>
      </w:r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ідносини в галузі охорони атмосферного повітря регулюються цим Законом, Законом України </w:t>
      </w:r>
      <w:r w:rsidR="00BF0BD7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r w:rsidR="00ED0232"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>Про охорону навколишнього природного середовища</w:t>
      </w:r>
      <w:r w:rsidR="00ED0232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іншими нормативно-правовими актами.</w:t>
      </w:r>
    </w:p>
    <w:p w:rsidR="00B81D5E" w:rsidRPr="00B81D5E" w:rsidRDefault="00B81D5E" w:rsidP="00E74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81D5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Відповідно </w:t>
      </w:r>
      <w:r w:rsidR="008D4712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до </w:t>
      </w:r>
      <w:r w:rsidRPr="00B81D5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статті 34 Закону ш</w:t>
      </w:r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>кода, завдана порушенням законодавства про охорону атмосферного повітря, підлягає відшкодуванню у порядку та розмірах, встановлених законом.</w:t>
      </w:r>
    </w:p>
    <w:p w:rsidR="00B81D5E" w:rsidRPr="00B81D5E" w:rsidRDefault="00B81D5E" w:rsidP="00E74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81D5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Частиною четвертою статті 68 Закону України «Про охорону навколишнього природного середовища» передбачено, що п</w:t>
      </w:r>
      <w:r w:rsidRPr="00B81D5E">
        <w:rPr>
          <w:rFonts w:ascii="Times New Roman" w:eastAsia="Calibri" w:hAnsi="Times New Roman" w:cs="Times New Roman"/>
          <w:sz w:val="28"/>
          <w:szCs w:val="28"/>
          <w:lang w:eastAsia="uk-UA"/>
        </w:rPr>
        <w:t>ідприємства, установи, організації та громадяни зобов'язані відшкодовувати шкоду, заподіяну ними внаслідок порушення законодавства про охорону навколишнього природного середовища, в порядку та розмірах, встановлених законодавством України.</w:t>
      </w:r>
    </w:p>
    <w:p w:rsidR="00AF1920" w:rsidRPr="00AF1920" w:rsidRDefault="00BF0BD7" w:rsidP="00E74DD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Станом на сьогодні в Україні </w:t>
      </w:r>
      <w:r w:rsidR="009A75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відсутні важелі впливу щодо </w:t>
      </w:r>
      <w:r w:rsidR="00193B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недобросовісних суб’єктів господарювання, які постійно </w:t>
      </w:r>
      <w:r w:rsidR="008D47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нехтують дотримання </w:t>
      </w:r>
      <w:r w:rsidR="00193B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природоохоронного законодавства в частині охорони атмосферного повітря. </w:t>
      </w:r>
      <w:r w:rsidR="008D47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</w:t>
      </w:r>
      <w:r w:rsidR="00AF1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маємо ситуацію у вигляді відсутності </w:t>
      </w:r>
      <w:r w:rsidR="008D47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правового </w:t>
      </w:r>
      <w:r w:rsidR="00AF1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механізму у вигляді </w:t>
      </w:r>
      <w:r w:rsidR="008D47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нормативно-правового акту, яким має бути затверджено </w:t>
      </w:r>
      <w:r w:rsidR="00AF192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</w:t>
      </w:r>
      <w:r w:rsidR="008D4712">
        <w:rPr>
          <w:rFonts w:ascii="Times New Roman" w:eastAsia="Times New Roman" w:hAnsi="Times New Roman" w:cs="Times New Roman"/>
          <w:sz w:val="28"/>
          <w:szCs w:val="28"/>
          <w:lang w:eastAsia="uk-UA"/>
        </w:rPr>
        <w:t>ку</w:t>
      </w:r>
      <w:r w:rsidR="00AF1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1920" w:rsidRPr="00AF19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розрахунку розмірів відшкодування збитків, які заподіяні державі в результаті наднормативних викидів забруднююч</w:t>
      </w:r>
      <w:r w:rsidR="00E65F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 речовин в атмосферне повітря.</w:t>
      </w:r>
    </w:p>
    <w:p w:rsidR="00AD0BB1" w:rsidRPr="008D6DBC" w:rsidRDefault="00AD0BB1" w:rsidP="00AD0B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6DBC">
        <w:rPr>
          <w:rFonts w:ascii="Times New Roman" w:hAnsi="Times New Roman"/>
          <w:i/>
          <w:sz w:val="24"/>
          <w:szCs w:val="24"/>
        </w:rPr>
        <w:lastRenderedPageBreak/>
        <w:t xml:space="preserve">Довідково: рішенням Окружного адміністративного суду міста Києва від 02.08.2018 по справі № 826/3820/18 визнано протиправним та не чинним наказ Міністерства охорони навколишнього природного середовища України від 10.12.2008 № 639, </w:t>
      </w:r>
      <w:r w:rsidRPr="008D6DB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зареєстрованого в Міністерстві юстиції України 21.01.2009 за № 48/16064, яким затверджено Методику розрахунку розмірів відшкодування збитків, які заподіяні державі </w:t>
      </w:r>
      <w:r w:rsidRPr="008D6DBC">
        <w:rPr>
          <w:rFonts w:ascii="Times New Roman" w:hAnsi="Times New Roman"/>
          <w:i/>
          <w:sz w:val="24"/>
          <w:szCs w:val="24"/>
        </w:rPr>
        <w:t>в результаті наднормативних викидів забруднюючих речовин в атмосферне повітря.</w:t>
      </w:r>
    </w:p>
    <w:p w:rsidR="00AD0BB1" w:rsidRPr="008D6DBC" w:rsidRDefault="00AD0BB1" w:rsidP="00AD0B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6DBC">
        <w:rPr>
          <w:rFonts w:ascii="Times New Roman" w:hAnsi="Times New Roman"/>
          <w:i/>
          <w:sz w:val="24"/>
          <w:szCs w:val="24"/>
        </w:rPr>
        <w:t xml:space="preserve">Постановою шостого апеляційного адміністративного суду від 10.12.2018 апеляційну скаргу Міністерства екології та природних ресурсів України залишено без задоволення, </w:t>
      </w:r>
      <w:r>
        <w:rPr>
          <w:rFonts w:ascii="Times New Roman" w:hAnsi="Times New Roman"/>
          <w:i/>
          <w:sz w:val="24"/>
          <w:szCs w:val="24"/>
        </w:rPr>
        <w:br/>
      </w:r>
      <w:r w:rsidRPr="008D6DBC">
        <w:rPr>
          <w:rFonts w:ascii="Times New Roman" w:hAnsi="Times New Roman"/>
          <w:i/>
          <w:sz w:val="24"/>
          <w:szCs w:val="24"/>
        </w:rPr>
        <w:t xml:space="preserve">а рішення Окружного адміністративного суду міста Києва від 02.08.2018 по справі </w:t>
      </w:r>
      <w:r>
        <w:rPr>
          <w:rFonts w:ascii="Times New Roman" w:hAnsi="Times New Roman"/>
          <w:i/>
          <w:sz w:val="24"/>
          <w:szCs w:val="24"/>
        </w:rPr>
        <w:br/>
      </w:r>
      <w:r w:rsidRPr="008D6DBC">
        <w:rPr>
          <w:rFonts w:ascii="Times New Roman" w:hAnsi="Times New Roman"/>
          <w:i/>
          <w:sz w:val="24"/>
          <w:szCs w:val="24"/>
        </w:rPr>
        <w:t>№ 826/3820/18 – без змін.</w:t>
      </w:r>
    </w:p>
    <w:p w:rsidR="00AD0BB1" w:rsidRPr="008D6DBC" w:rsidRDefault="00AD0BB1" w:rsidP="00AD0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8D6D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Керуючись вказаною постановою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суду </w:t>
      </w:r>
      <w:r w:rsidRPr="008D6D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Міністерство юстиції України своїм наказом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br/>
      </w:r>
      <w:r w:rsidRPr="008D6D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від 11.05.2019 № 1453/5 «Про скасування рішення про державну реєстрацію нормативно-правового </w:t>
      </w:r>
      <w:proofErr w:type="spellStart"/>
      <w:r w:rsidRPr="008D6DBC">
        <w:rPr>
          <w:rFonts w:ascii="Times New Roman" w:hAnsi="Times New Roman" w:cs="Times New Roman"/>
          <w:i/>
          <w:spacing w:val="-4"/>
          <w:sz w:val="24"/>
          <w:szCs w:val="24"/>
        </w:rPr>
        <w:t>акта</w:t>
      </w:r>
      <w:proofErr w:type="spellEnd"/>
      <w:r w:rsidRPr="008D6D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» </w:t>
      </w:r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відповідно до </w:t>
      </w:r>
      <w:hyperlink r:id="rId8" w:anchor="n152" w:tgtFrame="_blank" w:history="1">
        <w:r w:rsidRPr="008D6DBC">
          <w:rPr>
            <w:rFonts w:ascii="Times New Roman" w:eastAsia="Times New Roman" w:hAnsi="Times New Roman" w:cs="Times New Roman"/>
            <w:i/>
            <w:sz w:val="24"/>
            <w:szCs w:val="24"/>
            <w:lang w:eastAsia="uk-UA"/>
          </w:rPr>
          <w:t>підпункту «б</w:t>
        </w:r>
      </w:hyperlink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» пункту 17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28.12.1992 № 731, скасувало рішення про державну реєстрацію наказу Міністерства охорони навколишнього природного середовища України </w:t>
      </w:r>
      <w:hyperlink r:id="rId9" w:tgtFrame="_blank" w:history="1">
        <w:r w:rsidRPr="008D6DBC">
          <w:rPr>
            <w:rFonts w:ascii="Times New Roman" w:eastAsia="Times New Roman" w:hAnsi="Times New Roman" w:cs="Times New Roman"/>
            <w:i/>
            <w:sz w:val="24"/>
            <w:szCs w:val="24"/>
            <w:lang w:eastAsia="uk-UA"/>
          </w:rPr>
          <w:t>від 10.12.2008 № 639</w:t>
        </w:r>
      </w:hyperlink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«Про затвердження Методики розрахунку розмірів відшкодування збитків, які заподіяні державі в результаті наднормативних викидів забруднюючих речовин в атмосферне повітря», зареєстрованого в Міністерстві юстиції України 21 січня 2009 року за № 48/16064.</w:t>
      </w:r>
    </w:p>
    <w:p w:rsidR="00AD0BB1" w:rsidRPr="008D6DBC" w:rsidRDefault="00AD0BB1" w:rsidP="00AD0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Однак, постановою Верховного Суду України 15.10.2019 по справі № 826/3820/18 провадження № К/9901/998/19, р</w:t>
      </w:r>
      <w:r w:rsidRPr="008D6DBC">
        <w:rPr>
          <w:rFonts w:ascii="Times New Roman" w:hAnsi="Times New Roman"/>
          <w:i/>
          <w:sz w:val="24"/>
          <w:szCs w:val="24"/>
        </w:rPr>
        <w:t>ішення Окружного адміністративного суду міста Києва від 02.08.2018 по справі № 826/3820/18 та постановою шостого апеляційного адміністративного суду від 10.12.2018 скасовано.</w:t>
      </w:r>
    </w:p>
    <w:p w:rsidR="00AD0BB1" w:rsidRPr="008D6DBC" w:rsidRDefault="00AD0BB1" w:rsidP="00AD0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У зв’язку із зазначеним та з метою забезпечення належного виконання повноважень </w:t>
      </w:r>
      <w:proofErr w:type="spellStart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Держекоінспекції</w:t>
      </w:r>
      <w:proofErr w:type="spellEnd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та її територіальних та міжрегіональних територіальних органів в частині дотримання вимог законодавства про охорону атмосферного повітря, </w:t>
      </w:r>
      <w:proofErr w:type="spellStart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Мінекоенерго</w:t>
      </w:r>
      <w:proofErr w:type="spellEnd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звернулося листом від 30.10.2019 № 5/1-11/11864-19 до Міністерства юстиції України з проханням анулювати скасування рішення про державну реєстрацію наказу Міністерства охорони навколишнього природного середовища України </w:t>
      </w:r>
      <w:hyperlink r:id="rId10" w:tgtFrame="_blank" w:history="1">
        <w:r w:rsidRPr="008D6DBC">
          <w:rPr>
            <w:rFonts w:ascii="Times New Roman" w:eastAsia="Times New Roman" w:hAnsi="Times New Roman" w:cs="Times New Roman"/>
            <w:i/>
            <w:sz w:val="24"/>
            <w:szCs w:val="24"/>
            <w:lang w:eastAsia="uk-UA"/>
          </w:rPr>
          <w:t>від 10.12.2008 № 639</w:t>
        </w:r>
      </w:hyperlink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«Про затвердження Методики розрахунку розмірів відшкодування збитків, які заподіяні державі в результаті наднормативних викидів забруднюючих речовин в атмосферне повітря», зареєстрованого в Міністерстві юстиції України 21 січня 2009 року за № 48/16064 (наказ Міністерства юстиції України від 11.05.2019 № 1453/5).</w:t>
      </w:r>
    </w:p>
    <w:p w:rsidR="00AD0BB1" w:rsidRPr="008D6DBC" w:rsidRDefault="00AD0BB1" w:rsidP="00AD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Проте, Міністерство юстиції України у своєму листі від 08.11.2019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41018/24826-26-19/10.1.3, зазначило, що розглянути питання щодо анулювання скасування рішення про державну реєстрацію зазначеного наказу немає правових підстав та є необхідність прийняття суб’єктом </w:t>
      </w:r>
      <w:proofErr w:type="spellStart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нормотворення</w:t>
      </w:r>
      <w:proofErr w:type="spellEnd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нового нормативно-правового </w:t>
      </w:r>
      <w:proofErr w:type="spellStart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акта</w:t>
      </w:r>
      <w:proofErr w:type="spellEnd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із порушеного питання.</w:t>
      </w:r>
    </w:p>
    <w:p w:rsidR="00AD0BB1" w:rsidRPr="008D6DBC" w:rsidRDefault="00AD0BB1" w:rsidP="00AD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зв’язку із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такою позицією Міністерства юстиції України</w:t>
      </w:r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підготовлено новий </w:t>
      </w:r>
      <w:proofErr w:type="spellStart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проєкт</w:t>
      </w:r>
      <w:proofErr w:type="spellEnd"/>
      <w:r w:rsidRPr="008D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наказу Міністерства енергетики та захисту довкілля України «Про затвердження Методики розрахунку розмірів відшкодування збитків, які заподіяні державні в результаті наднормативних викидів забруднюючих речовин в атмосферне повітря».</w:t>
      </w:r>
    </w:p>
    <w:p w:rsidR="00AD0BB1" w:rsidRDefault="00AD0BB1" w:rsidP="00E74DD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Pr="00BF0EEF" w:rsidRDefault="00E65FDB" w:rsidP="00E74DD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Відсутність такої методики </w:t>
      </w:r>
      <w:r w:rsidRPr="008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унеможлив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лює</w:t>
      </w:r>
      <w:r w:rsidRPr="008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нарахування збитків завданих державі внаслідок </w:t>
      </w:r>
      <w:r w:rsid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наднормативного </w:t>
      </w:r>
      <w:r w:rsidRPr="008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забруднення атмосферного повітря та невиконання заходів щодо скорочення викидів забруднюючих речовин. Такі дії приведуть до безкарності суб’єктів господарювання, які порушують вимоги природоохоронного законодавства у частині охорони </w:t>
      </w:r>
      <w:r w:rsidRPr="0037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атмосферного повітря, подальшого безвідповідального його забруднення та ненадходження до бюджету коштів на природоохоронні заходи у галузі охорони атмосферного </w:t>
      </w:r>
      <w:r w:rsidRPr="00377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повітря.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Як, приклад, слід зазначити, що протягом 2019 року </w:t>
      </w:r>
      <w:r w:rsid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період відсутності зазначеної методики), підприємства-гіганти здійснюючи свою діяльність з порушенням </w:t>
      </w:r>
      <w:r w:rsidR="00AD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природоохоронного законодавства не несуть відповідальності за заподіяні збитки </w:t>
      </w:r>
      <w:r w:rsidRPr="00E110EF">
        <w:rPr>
          <w:rFonts w:ascii="Times New Roman" w:eastAsia="Times New Roman" w:hAnsi="Times New Roman" w:cs="Times New Roman"/>
          <w:sz w:val="28"/>
          <w:szCs w:val="28"/>
        </w:rPr>
        <w:t>державі в результаті наднормативних викидів забруднюючих речовин в атмосферне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вітря стаціонарними  джерелами. Такі </w:t>
      </w:r>
      <w:r w:rsidR="00AD0BB1">
        <w:rPr>
          <w:rFonts w:ascii="Times New Roman" w:eastAsia="Times New Roman" w:hAnsi="Times New Roman" w:cs="Times New Roman"/>
          <w:sz w:val="28"/>
          <w:szCs w:val="28"/>
        </w:rPr>
        <w:t xml:space="preserve">розраховані </w:t>
      </w:r>
      <w:r>
        <w:rPr>
          <w:rFonts w:ascii="Times New Roman" w:eastAsia="Times New Roman" w:hAnsi="Times New Roman" w:cs="Times New Roman"/>
          <w:sz w:val="28"/>
          <w:szCs w:val="28"/>
        </w:rPr>
        <w:t>збитки сягають біля десяти мільйонів гривень.</w:t>
      </w:r>
    </w:p>
    <w:p w:rsidR="00E65FDB" w:rsidRPr="00377369" w:rsidRDefault="00E65FDB" w:rsidP="00E74DD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Default="00FC2B4F" w:rsidP="00E74DD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огляду на зазначене,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назріла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63F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кричуща</w:t>
      </w:r>
      <w:proofErr w:type="spellEnd"/>
      <w:r w:rsidR="00363F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</w:t>
      </w:r>
      <w:proofErr w:type="spellEnd"/>
      <w:r w:rsidR="00363F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363F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прийняті</w:t>
      </w:r>
      <w:proofErr w:type="spellEnd"/>
      <w:r w:rsidR="00363F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такого </w:t>
      </w:r>
      <w:r w:rsidR="00E65FDB" w:rsidRPr="00E22E8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E65FD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63F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65FDB" w:rsidRPr="00E22E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83500" w:rsidRPr="00FB12D2" w:rsidRDefault="00363F3F" w:rsidP="00FB1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</w:t>
      </w:r>
      <w:r w:rsidR="0047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підготовлено новий </w:t>
      </w:r>
      <w:proofErr w:type="spellStart"/>
      <w:r w:rsidR="00473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783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78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енергетики та захисту довкілля України «Про затвердження Методики розрахунку розмірів відшкодування збитків, які заподіяні державні в результаті наднормативних викидів забруднюючи</w:t>
      </w:r>
      <w:r w:rsidR="00FB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речовин в атмосферне повітря», яким </w:t>
      </w:r>
      <w:proofErr w:type="spellStart"/>
      <w:r w:rsidR="00FB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переглянуто</w:t>
      </w:r>
      <w:proofErr w:type="spellEnd"/>
      <w:r w:rsidR="00FB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попередню </w:t>
      </w:r>
      <w:r w:rsidR="00FB1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Методику</w:t>
      </w:r>
      <w:r w:rsidR="007835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метою приведення </w:t>
      </w:r>
      <w:r w:rsidR="00FB1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її </w:t>
      </w:r>
      <w:r w:rsidR="0078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 вимог чинних нормативно-правових актів.</w:t>
      </w:r>
    </w:p>
    <w:p w:rsidR="00233E29" w:rsidRPr="00F20C3E" w:rsidRDefault="00233E29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C3E">
        <w:rPr>
          <w:rFonts w:ascii="Times New Roman" w:eastAsia="Calibri" w:hAnsi="Times New Roman" w:cs="Times New Roman"/>
          <w:sz w:val="28"/>
          <w:szCs w:val="28"/>
        </w:rPr>
        <w:t xml:space="preserve">Відповідно до Положення про Державну екологічну інспекцію України, затвердженого постановою Кабінету Міністрів України від 19.04.2017 № 275, </w:t>
      </w:r>
      <w:proofErr w:type="spellStart"/>
      <w:r w:rsidRPr="00F20C3E">
        <w:rPr>
          <w:rFonts w:ascii="Times New Roman" w:eastAsia="Calibri" w:hAnsi="Times New Roman" w:cs="Times New Roman"/>
          <w:sz w:val="28"/>
          <w:szCs w:val="28"/>
        </w:rPr>
        <w:t>Держекоінспекція</w:t>
      </w:r>
      <w:proofErr w:type="spellEnd"/>
      <w:r w:rsidRPr="00F20C3E">
        <w:rPr>
          <w:rFonts w:ascii="Times New Roman" w:eastAsia="Calibri" w:hAnsi="Times New Roman" w:cs="Times New Roman"/>
          <w:sz w:val="28"/>
          <w:szCs w:val="28"/>
        </w:rPr>
        <w:t xml:space="preserve">, відповідно до покладених на неї завдань </w:t>
      </w:r>
      <w:r w:rsidRPr="00F20C3E">
        <w:rPr>
          <w:rFonts w:ascii="Times New Roman" w:hAnsi="Times New Roman" w:cs="Times New Roman"/>
          <w:sz w:val="28"/>
          <w:szCs w:val="28"/>
          <w:shd w:val="clear" w:color="auto" w:fill="FFFFFF"/>
        </w:rPr>
        <w:t>пред’являє претензії про відшкодування шкоди, збитків і втрат, заподіяних державі внаслідок порушення законодавства з питань, що належать до її компетенції, та розраховує їх розмір.</w:t>
      </w:r>
    </w:p>
    <w:p w:rsidR="00233E29" w:rsidRPr="0016245F" w:rsidRDefault="00233E29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5F">
        <w:rPr>
          <w:rFonts w:ascii="Times New Roman" w:eastAsia="Calibri" w:hAnsi="Times New Roman" w:cs="Times New Roman"/>
          <w:sz w:val="28"/>
          <w:szCs w:val="28"/>
        </w:rPr>
        <w:t xml:space="preserve">Здійснення державного нагляду (контролю) за додержанням вимог природоохоронного законодавства у сфері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охорони атмосферного повітря </w:t>
      </w:r>
      <w:r w:rsidRPr="0016245F">
        <w:rPr>
          <w:rFonts w:ascii="Times New Roman" w:eastAsia="Calibri" w:hAnsi="Times New Roman" w:cs="Times New Roman"/>
          <w:sz w:val="28"/>
          <w:szCs w:val="28"/>
        </w:rPr>
        <w:t xml:space="preserve">покладено на Державну екологічну інспекцію України та її територіальні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і міжрегіональні територіальні </w:t>
      </w:r>
      <w:r w:rsidRPr="0016245F">
        <w:rPr>
          <w:rFonts w:ascii="Times New Roman" w:eastAsia="Calibri" w:hAnsi="Times New Roman" w:cs="Times New Roman"/>
          <w:sz w:val="28"/>
          <w:szCs w:val="28"/>
        </w:rPr>
        <w:t>органи.</w:t>
      </w:r>
    </w:p>
    <w:p w:rsidR="002301EF" w:rsidRPr="0082653D" w:rsidRDefault="002301E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Дія наказу поширюється на державних інспекторів України з охорони навколишнього природного середовища та державних інспекторів з охорони навколишнього природного середовища відповідних територій та визначає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розрахунок</w:t>
      </w:r>
      <w:r w:rsidRPr="003D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розмірів відшкодування збитків, які заподіянні державі в результаті наднормативних викидів забруднюючих речовин в атмосферне повітря</w:t>
      </w:r>
      <w:r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28139F" w:rsidRDefault="0016245F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5F">
        <w:rPr>
          <w:rFonts w:ascii="Times New Roman" w:eastAsia="Calibri" w:hAnsi="Times New Roman" w:cs="Times New Roman"/>
          <w:sz w:val="28"/>
          <w:szCs w:val="28"/>
        </w:rPr>
        <w:t xml:space="preserve">У разі </w:t>
      </w:r>
      <w:r w:rsidR="0028139F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r w:rsidRPr="0016245F">
        <w:rPr>
          <w:rFonts w:ascii="Times New Roman" w:eastAsia="Calibri" w:hAnsi="Times New Roman" w:cs="Times New Roman"/>
          <w:sz w:val="28"/>
          <w:szCs w:val="28"/>
        </w:rPr>
        <w:t xml:space="preserve"> посадовими особами Державної екологічної інспекції України та її територіальни</w:t>
      </w:r>
      <w:r w:rsidR="0028139F">
        <w:rPr>
          <w:rFonts w:ascii="Times New Roman" w:eastAsia="Calibri" w:hAnsi="Times New Roman" w:cs="Times New Roman"/>
          <w:sz w:val="28"/>
          <w:szCs w:val="28"/>
        </w:rPr>
        <w:t xml:space="preserve">ми та міжрегіональними територіальними </w:t>
      </w:r>
      <w:r w:rsidRPr="0016245F">
        <w:rPr>
          <w:rFonts w:ascii="Times New Roman" w:eastAsia="Calibri" w:hAnsi="Times New Roman" w:cs="Times New Roman"/>
          <w:sz w:val="28"/>
          <w:szCs w:val="28"/>
        </w:rPr>
        <w:t>орган</w:t>
      </w:r>
      <w:r w:rsidR="0028139F">
        <w:rPr>
          <w:rFonts w:ascii="Times New Roman" w:eastAsia="Calibri" w:hAnsi="Times New Roman" w:cs="Times New Roman"/>
          <w:sz w:val="28"/>
          <w:szCs w:val="28"/>
        </w:rPr>
        <w:t>ами</w:t>
      </w:r>
      <w:r w:rsidRPr="0016245F">
        <w:rPr>
          <w:rFonts w:ascii="Times New Roman" w:eastAsia="Calibri" w:hAnsi="Times New Roman" w:cs="Times New Roman"/>
          <w:sz w:val="28"/>
          <w:szCs w:val="28"/>
        </w:rPr>
        <w:t xml:space="preserve"> фактів </w:t>
      </w:r>
      <w:r w:rsidR="0028139F">
        <w:rPr>
          <w:rFonts w:ascii="Times New Roman" w:eastAsia="Calibri" w:hAnsi="Times New Roman" w:cs="Times New Roman"/>
          <w:sz w:val="28"/>
          <w:szCs w:val="28"/>
        </w:rPr>
        <w:t xml:space="preserve">наднормативних викидів </w:t>
      </w:r>
      <w:r w:rsidR="00846283">
        <w:rPr>
          <w:rFonts w:ascii="Times New Roman" w:eastAsia="Calibri" w:hAnsi="Times New Roman" w:cs="Times New Roman"/>
          <w:sz w:val="28"/>
          <w:szCs w:val="28"/>
        </w:rPr>
        <w:t>забруднюючих</w:t>
      </w:r>
      <w:r w:rsidR="0028139F">
        <w:rPr>
          <w:rFonts w:ascii="Times New Roman" w:eastAsia="Calibri" w:hAnsi="Times New Roman" w:cs="Times New Roman"/>
          <w:sz w:val="28"/>
          <w:szCs w:val="28"/>
        </w:rPr>
        <w:t xml:space="preserve"> речови</w:t>
      </w:r>
      <w:r w:rsidR="00846283" w:rsidRPr="00846283">
        <w:rPr>
          <w:rFonts w:ascii="Times New Roman" w:eastAsia="Calibri" w:hAnsi="Times New Roman" w:cs="Times New Roman"/>
          <w:sz w:val="28"/>
          <w:szCs w:val="28"/>
        </w:rPr>
        <w:t>н</w:t>
      </w:r>
      <w:r w:rsidR="0028139F">
        <w:rPr>
          <w:rFonts w:ascii="Times New Roman" w:eastAsia="Calibri" w:hAnsi="Times New Roman" w:cs="Times New Roman"/>
          <w:sz w:val="28"/>
          <w:szCs w:val="28"/>
        </w:rPr>
        <w:t xml:space="preserve"> в атмосферне повітря, відповідно до Закону України «Про охорону атмосферного повітря» </w:t>
      </w:r>
      <w:r w:rsidR="0028139F" w:rsidRPr="0028139F">
        <w:rPr>
          <w:rFonts w:ascii="Times New Roman" w:eastAsia="Calibri" w:hAnsi="Times New Roman" w:cs="Times New Roman"/>
          <w:sz w:val="28"/>
          <w:szCs w:val="28"/>
        </w:rPr>
        <w:t>ш</w:t>
      </w:r>
      <w:r w:rsidR="0028139F" w:rsidRPr="00281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кода, завдана порушенням законодавства про охорону атмосферного повітря, підлягає відшкодуванню</w:t>
      </w:r>
      <w:r w:rsidR="002813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44AC" w:rsidRDefault="006278BE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Так</w:t>
      </w:r>
      <w:r w:rsidR="00FB12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757D4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(контролю) </w:t>
      </w:r>
      <w:r w:rsidR="00ED023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атмосферного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повітря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2018 </w:t>
      </w:r>
      <w:proofErr w:type="spellStart"/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році</w:t>
      </w:r>
      <w:proofErr w:type="spellEnd"/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було</w:t>
      </w:r>
      <w:proofErr w:type="spellEnd"/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проведено </w:t>
      </w:r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 xml:space="preserve">6636 </w:t>
      </w:r>
      <w:proofErr w:type="spellStart"/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перевірок</w:t>
      </w:r>
      <w:proofErr w:type="spellEnd"/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результатами </w:t>
      </w:r>
      <w:proofErr w:type="spellStart"/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="005C6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A2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0A2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встановлених</w:t>
      </w:r>
      <w:proofErr w:type="spellEnd"/>
      <w:r w:rsidR="000A2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при </w:t>
      </w:r>
      <w:proofErr w:type="spellStart"/>
      <w:r w:rsidR="000A2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цьому</w:t>
      </w:r>
      <w:proofErr w:type="spellEnd"/>
      <w:r w:rsidR="000A2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наднормативних</w:t>
      </w:r>
      <w:proofErr w:type="spellEnd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викидів</w:t>
      </w:r>
      <w:proofErr w:type="spellEnd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забруднюючих</w:t>
      </w:r>
      <w:proofErr w:type="spellEnd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речовин</w:t>
      </w:r>
      <w:proofErr w:type="spellEnd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атмосферне</w:t>
      </w:r>
      <w:proofErr w:type="spellEnd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повітря</w:t>
      </w:r>
      <w:proofErr w:type="spellEnd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678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стаціо</w:t>
      </w:r>
      <w:r w:rsidR="002464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нарними</w:t>
      </w:r>
      <w:proofErr w:type="spellEnd"/>
      <w:r w:rsidR="002464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464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джерелами</w:t>
      </w:r>
      <w:proofErr w:type="spellEnd"/>
      <w:r w:rsidR="002464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464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відповідачам</w:t>
      </w:r>
      <w:proofErr w:type="spellEnd"/>
      <w:r w:rsidR="002464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C65F7" w:rsidRPr="005C65F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пред’явлено</w:t>
      </w:r>
      <w:r w:rsidR="005C65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44AC">
        <w:rPr>
          <w:rFonts w:ascii="Times New Roman" w:eastAsia="Times New Roman" w:hAnsi="Times New Roman" w:cs="Times New Roman"/>
          <w:sz w:val="28"/>
          <w:szCs w:val="28"/>
          <w:lang w:eastAsia="uk-UA"/>
        </w:rPr>
        <w:t>976</w:t>
      </w:r>
      <w:r w:rsidR="00A444AC"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претензій на загальну суму </w:t>
      </w:r>
      <w:r w:rsidR="00A444AC">
        <w:rPr>
          <w:rFonts w:ascii="Times New Roman" w:eastAsia="Times New Roman" w:hAnsi="Times New Roman" w:cs="Times New Roman"/>
          <w:sz w:val="28"/>
          <w:szCs w:val="28"/>
          <w:lang w:eastAsia="uk-UA"/>
        </w:rPr>
        <w:t>194745,349 тис. грн.</w:t>
      </w:r>
    </w:p>
    <w:p w:rsidR="00D57372" w:rsidRPr="00BF0EEF" w:rsidRDefault="0016245F" w:rsidP="00E74DD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55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Відсутність затвердженого в установленому порядку </w:t>
      </w:r>
      <w:r w:rsidR="00D57372" w:rsidRPr="007B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обчислення розміру  відшкодування збитків, які заподіяні державі в результаті наднормативних </w:t>
      </w:r>
      <w:r w:rsidR="00D57372" w:rsidRPr="007B1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викидів забруднюючих речовин в атмосферне повітря унеможливить нарахування збитків завданих державі внаслідок забруднення атмосферного повітря та невиконання заходів щодо скорочення викидів забруднюючих речовин. Такі дії приведуть до </w:t>
      </w:r>
      <w:r w:rsidR="002464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r w:rsidR="00D57372" w:rsidRPr="007B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суб’єктів господарювання</w:t>
      </w:r>
      <w:r w:rsidR="0024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відповідальності за порушення</w:t>
      </w:r>
      <w:r w:rsidR="00D57372" w:rsidRPr="007B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 природоохоронного законодавства у частині охорони атмосферного повітря, подальшого безвідповідального його забруднення та ненадходження до бюджету коштів на природоохоронні заходи у галу</w:t>
      </w:r>
      <w:r w:rsidR="00B2646E">
        <w:rPr>
          <w:rFonts w:ascii="Times New Roman" w:eastAsia="Times New Roman" w:hAnsi="Times New Roman" w:cs="Times New Roman"/>
          <w:sz w:val="28"/>
          <w:szCs w:val="28"/>
          <w:lang w:eastAsia="ru-RU"/>
        </w:rPr>
        <w:t>зі охорони атмосферного повітря, реалізація яких зменшить рівні захворюваності та смертності населення.</w:t>
      </w:r>
    </w:p>
    <w:p w:rsidR="00CD1C46" w:rsidRPr="00C130B5" w:rsidRDefault="00B02AAD" w:rsidP="00E74DD1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Разом з тим, затвердження зазначеного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805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70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запровадить </w:t>
      </w:r>
      <w:r w:rsidR="00805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дієвого механізму, що буде стимулювати </w:t>
      </w:r>
      <w:r w:rsidR="002708C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суб’єктів</w:t>
      </w:r>
      <w:r w:rsidR="00805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до здійснення діяльності без порушення </w:t>
      </w:r>
      <w:r w:rsidR="00B26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</w:t>
      </w:r>
      <w:r w:rsidR="00805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законодавства у сфері охорони </w:t>
      </w:r>
      <w:r w:rsidR="00B2646E">
        <w:rPr>
          <w:rFonts w:ascii="Times New Roman" w:eastAsia="Times New Roman" w:hAnsi="Times New Roman" w:cs="Times New Roman"/>
          <w:sz w:val="28"/>
          <w:szCs w:val="28"/>
          <w:lang w:eastAsia="uk-UA"/>
        </w:rPr>
        <w:t>атмосферного повітря, вимог з дотримання умов виданих дозволів на викиди забруднюючих речовин в атмосферне повітря.</w:t>
      </w:r>
    </w:p>
    <w:p w:rsidR="00A444AC" w:rsidRPr="007B1155" w:rsidRDefault="00A444AC" w:rsidP="00E74DD1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245F" w:rsidRPr="0016245F" w:rsidRDefault="0016245F" w:rsidP="00E74DD1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групи, які зазнають вплив від проблеми:</w:t>
      </w:r>
    </w:p>
    <w:p w:rsidR="0016245F" w:rsidRPr="0016245F" w:rsidRDefault="0016245F" w:rsidP="00E74DD1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2916"/>
        <w:gridCol w:w="3133"/>
      </w:tblGrid>
      <w:tr w:rsidR="0016245F" w:rsidRPr="0016245F" w:rsidTr="00EC37AE">
        <w:tc>
          <w:tcPr>
            <w:tcW w:w="3528" w:type="dxa"/>
          </w:tcPr>
          <w:p w:rsidR="0016245F" w:rsidRPr="0016245F" w:rsidRDefault="0016245F" w:rsidP="00E74DD1">
            <w:pPr>
              <w:widowControl w:val="0"/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Групи</w:t>
            </w:r>
          </w:p>
        </w:tc>
        <w:tc>
          <w:tcPr>
            <w:tcW w:w="3042" w:type="dxa"/>
          </w:tcPr>
          <w:p w:rsidR="0016245F" w:rsidRPr="0016245F" w:rsidRDefault="0016245F" w:rsidP="00E74DD1">
            <w:pPr>
              <w:widowControl w:val="0"/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3285" w:type="dxa"/>
          </w:tcPr>
          <w:p w:rsidR="0016245F" w:rsidRPr="0016245F" w:rsidRDefault="0016245F" w:rsidP="00E74DD1">
            <w:pPr>
              <w:widowControl w:val="0"/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16245F" w:rsidRPr="0016245F" w:rsidTr="00EC37AE">
        <w:tc>
          <w:tcPr>
            <w:tcW w:w="3528" w:type="dxa"/>
          </w:tcPr>
          <w:p w:rsidR="0016245F" w:rsidRPr="0016245F" w:rsidRDefault="0016245F" w:rsidP="00E74DD1">
            <w:pPr>
              <w:widowControl w:val="0"/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Громадяни</w:t>
            </w:r>
          </w:p>
        </w:tc>
        <w:tc>
          <w:tcPr>
            <w:tcW w:w="3042" w:type="dxa"/>
          </w:tcPr>
          <w:p w:rsidR="0016245F" w:rsidRPr="000D158F" w:rsidRDefault="000D158F" w:rsidP="00E74DD1">
            <w:pPr>
              <w:widowControl w:val="0"/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3285" w:type="dxa"/>
          </w:tcPr>
          <w:p w:rsidR="0016245F" w:rsidRPr="000D158F" w:rsidRDefault="000D158F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+</w:t>
            </w:r>
          </w:p>
        </w:tc>
      </w:tr>
      <w:tr w:rsidR="0016245F" w:rsidRPr="0016245F" w:rsidTr="00EC37AE">
        <w:tc>
          <w:tcPr>
            <w:tcW w:w="3528" w:type="dxa"/>
          </w:tcPr>
          <w:p w:rsidR="0016245F" w:rsidRPr="0016245F" w:rsidRDefault="0016245F" w:rsidP="00E74DD1">
            <w:pPr>
              <w:widowControl w:val="0"/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Держава</w:t>
            </w:r>
          </w:p>
        </w:tc>
        <w:tc>
          <w:tcPr>
            <w:tcW w:w="3042" w:type="dxa"/>
          </w:tcPr>
          <w:p w:rsidR="0016245F" w:rsidRPr="00E64A11" w:rsidRDefault="00E64A11" w:rsidP="00E74DD1">
            <w:pPr>
              <w:widowControl w:val="0"/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+</w:t>
            </w:r>
          </w:p>
        </w:tc>
        <w:tc>
          <w:tcPr>
            <w:tcW w:w="3285" w:type="dxa"/>
          </w:tcPr>
          <w:p w:rsidR="0016245F" w:rsidRPr="0016245F" w:rsidRDefault="0016245F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6245F" w:rsidRPr="0016245F" w:rsidTr="00EC37AE">
        <w:tc>
          <w:tcPr>
            <w:tcW w:w="3528" w:type="dxa"/>
          </w:tcPr>
          <w:p w:rsidR="0016245F" w:rsidRPr="0016245F" w:rsidRDefault="0016245F" w:rsidP="00E74DD1">
            <w:pPr>
              <w:widowControl w:val="0"/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Суб’єкти господарювання</w:t>
            </w:r>
          </w:p>
        </w:tc>
        <w:tc>
          <w:tcPr>
            <w:tcW w:w="3042" w:type="dxa"/>
          </w:tcPr>
          <w:p w:rsidR="0016245F" w:rsidRPr="00E64A11" w:rsidRDefault="00E64A11" w:rsidP="00E74DD1">
            <w:pPr>
              <w:widowControl w:val="0"/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+</w:t>
            </w:r>
          </w:p>
        </w:tc>
        <w:tc>
          <w:tcPr>
            <w:tcW w:w="3285" w:type="dxa"/>
          </w:tcPr>
          <w:p w:rsidR="0016245F" w:rsidRPr="0016245F" w:rsidRDefault="0016245F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</w:tbl>
    <w:p w:rsidR="0016245F" w:rsidRPr="0016245F" w:rsidRDefault="0016245F" w:rsidP="00E74DD1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Зазначена проблема не може бути розв’язана за допомогою ринкових механізмів.</w:t>
      </w:r>
    </w:p>
    <w:p w:rsidR="00B347B5" w:rsidRDefault="00B347B5" w:rsidP="00E74DD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9AA">
        <w:rPr>
          <w:rFonts w:ascii="Times New Roman" w:hAnsi="Times New Roman" w:cs="Times New Roman"/>
          <w:color w:val="222222"/>
          <w:kern w:val="0"/>
          <w:sz w:val="28"/>
          <w:szCs w:val="28"/>
          <w:lang w:val="uk-UA" w:eastAsia="uk-UA" w:bidi="ar-SA"/>
        </w:rPr>
        <w:t xml:space="preserve">Проблема, яку пропонується врегулювати в результаті прийняття регуляторного </w:t>
      </w:r>
      <w:proofErr w:type="spellStart"/>
      <w:r w:rsidRPr="003769AA">
        <w:rPr>
          <w:rFonts w:ascii="Times New Roman" w:hAnsi="Times New Roman" w:cs="Times New Roman"/>
          <w:color w:val="222222"/>
          <w:kern w:val="0"/>
          <w:sz w:val="28"/>
          <w:szCs w:val="28"/>
          <w:lang w:val="uk-UA" w:eastAsia="uk-UA" w:bidi="ar-SA"/>
        </w:rPr>
        <w:t>акта</w:t>
      </w:r>
      <w:proofErr w:type="spellEnd"/>
      <w:r w:rsidRPr="003769AA">
        <w:rPr>
          <w:rFonts w:ascii="Times New Roman" w:hAnsi="Times New Roman" w:cs="Times New Roman"/>
          <w:color w:val="222222"/>
          <w:kern w:val="0"/>
          <w:sz w:val="28"/>
          <w:szCs w:val="28"/>
          <w:lang w:val="uk-UA" w:eastAsia="uk-UA" w:bidi="ar-SA"/>
        </w:rPr>
        <w:t xml:space="preserve">, є важливою і не може бути розв’язана за допомогою ринкових механізмів, оскільки, </w:t>
      </w:r>
      <w:r>
        <w:rPr>
          <w:rFonts w:ascii="Times New Roman" w:hAnsi="Times New Roman" w:cs="Times New Roman"/>
          <w:color w:val="222222"/>
          <w:kern w:val="0"/>
          <w:sz w:val="28"/>
          <w:szCs w:val="28"/>
          <w:lang w:val="uk-UA" w:eastAsia="uk-UA" w:bidi="ar-SA"/>
        </w:rPr>
        <w:t xml:space="preserve">зазначене </w:t>
      </w:r>
      <w:proofErr w:type="spellStart"/>
      <w:r w:rsidRPr="006E618F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6E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618F">
        <w:rPr>
          <w:rFonts w:ascii="Times New Roman" w:hAnsi="Times New Roman" w:cs="Times New Roman"/>
          <w:sz w:val="28"/>
          <w:szCs w:val="28"/>
          <w:lang w:val="ru-RU"/>
        </w:rPr>
        <w:t>регулю</w:t>
      </w:r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6E618F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6E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618F">
        <w:rPr>
          <w:rFonts w:ascii="Times New Roman" w:hAnsi="Times New Roman" w:cs="Times New Roman"/>
          <w:sz w:val="28"/>
          <w:szCs w:val="28"/>
          <w:lang w:val="ru-RU"/>
        </w:rPr>
        <w:t>виключн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актами.</w:t>
      </w:r>
    </w:p>
    <w:p w:rsidR="0016245F" w:rsidRPr="0016245F" w:rsidRDefault="0016245F" w:rsidP="00E74DD1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245F" w:rsidRPr="0016245F" w:rsidRDefault="000414E6" w:rsidP="00E74DD1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ІІ. </w:t>
      </w:r>
      <w:r w:rsidR="0016245F"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Цілі державного регулювання</w:t>
      </w:r>
    </w:p>
    <w:p w:rsidR="0016245F" w:rsidRPr="0016245F" w:rsidRDefault="0016245F" w:rsidP="00E74DD1">
      <w:pPr>
        <w:widowControl w:val="0"/>
        <w:spacing w:after="0" w:line="240" w:lineRule="atLeast"/>
        <w:ind w:left="1080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6245F" w:rsidRPr="0016245F" w:rsidRDefault="00473725" w:rsidP="00E74DD1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16245F"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="0016245F"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6245F"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16245F"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спрямований на розв’язання проблем, визначених у попередньому розділі аналізу регу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ляторного впливу. Прийняття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16245F"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 w:rsidR="0016245F"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акту забезпечить: </w:t>
      </w:r>
    </w:p>
    <w:p w:rsidR="00437ACB" w:rsidRDefault="00437ACB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</w:t>
      </w:r>
      <w:r w:rsidR="000D2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підхі</w:t>
      </w:r>
      <w:r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D28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(організованими та неорганізованими)</w:t>
      </w:r>
      <w:r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суб'єктів господарювання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45F" w:rsidRPr="0016245F" w:rsidRDefault="0016245F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6245F">
        <w:rPr>
          <w:rFonts w:ascii="Times New Roman" w:eastAsia="Times New Roman" w:hAnsi="Times New Roman" w:cs="Courier New"/>
          <w:sz w:val="28"/>
          <w:szCs w:val="28"/>
          <w:lang w:eastAsia="ru-RU"/>
        </w:rPr>
        <w:t>прозоре та  зрозуміле нарахування збитків;</w:t>
      </w:r>
    </w:p>
    <w:p w:rsidR="0016245F" w:rsidRPr="0016245F" w:rsidRDefault="0016245F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6245F">
        <w:rPr>
          <w:rFonts w:ascii="Times New Roman" w:eastAsia="Times New Roman" w:hAnsi="Times New Roman" w:cs="Courier New"/>
          <w:sz w:val="28"/>
          <w:szCs w:val="28"/>
          <w:lang w:eastAsia="ru-RU"/>
        </w:rPr>
        <w:t>зменшенн</w:t>
      </w:r>
      <w:r w:rsidR="00437ACB">
        <w:rPr>
          <w:rFonts w:ascii="Times New Roman" w:eastAsia="Times New Roman" w:hAnsi="Times New Roman" w:cs="Courier New"/>
          <w:sz w:val="28"/>
          <w:szCs w:val="28"/>
          <w:lang w:eastAsia="ru-RU"/>
        </w:rPr>
        <w:t>я ризику корупційних зловживань.</w:t>
      </w:r>
    </w:p>
    <w:p w:rsidR="0016245F" w:rsidRDefault="0016245F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E3181" w:rsidRDefault="00DE3181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E3181" w:rsidRDefault="00DE3181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E3181" w:rsidRPr="0016245F" w:rsidRDefault="00DE3181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6245F" w:rsidRPr="0016245F" w:rsidRDefault="0016245F" w:rsidP="00E74D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6245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ІІІ</w:t>
      </w:r>
      <w:r w:rsidR="00271C3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.</w:t>
      </w:r>
      <w:r w:rsidRPr="0016245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16245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Визначення та оцінка альтернативних способів досягнення цілей</w:t>
      </w:r>
    </w:p>
    <w:p w:rsidR="0016245F" w:rsidRPr="0016245F" w:rsidRDefault="0016245F" w:rsidP="00E74D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6245F" w:rsidRPr="0016245F" w:rsidRDefault="0016245F" w:rsidP="00E74DD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Визначення альтернативних способів</w:t>
      </w:r>
    </w:p>
    <w:p w:rsidR="0016245F" w:rsidRPr="0016245F" w:rsidRDefault="0016245F" w:rsidP="00E74DD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6587"/>
      </w:tblGrid>
      <w:tr w:rsidR="00C27ED9" w:rsidRPr="0016245F" w:rsidTr="005B747F">
        <w:tc>
          <w:tcPr>
            <w:tcW w:w="2793" w:type="dxa"/>
          </w:tcPr>
          <w:p w:rsidR="0016245F" w:rsidRPr="0016245F" w:rsidRDefault="0016245F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6587" w:type="dxa"/>
          </w:tcPr>
          <w:p w:rsidR="0016245F" w:rsidRPr="0016245F" w:rsidRDefault="0016245F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Опис альтернативи</w:t>
            </w:r>
          </w:p>
        </w:tc>
      </w:tr>
      <w:tr w:rsidR="005B747F" w:rsidRPr="005B747F" w:rsidTr="005B747F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F" w:rsidRPr="005B747F" w:rsidRDefault="005B747F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Альтернатива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  <w:p w:rsidR="005B747F" w:rsidRPr="005B747F" w:rsidRDefault="005B747F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5B747F" w:rsidRPr="005B747F" w:rsidRDefault="005B747F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3" w:rsidRPr="00DE3181" w:rsidRDefault="00473725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</w:t>
            </w:r>
            <w:r w:rsidR="005969C3"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кту</w:t>
            </w:r>
            <w:proofErr w:type="spellEnd"/>
            <w:r w:rsidR="005969C3"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969C3"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акта</w:t>
            </w:r>
            <w:proofErr w:type="spellEnd"/>
            <w:r w:rsidR="00DE31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:</w:t>
            </w:r>
          </w:p>
          <w:p w:rsidR="005969C3" w:rsidRDefault="005969C3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Зменшить кількість правопорушень у сфері охорони атмосферного п</w:t>
            </w:r>
            <w:r w:rsidR="00E40A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овітря та приведення до вимог чинних нормативно-правових актів.</w:t>
            </w:r>
          </w:p>
          <w:p w:rsidR="005B747F" w:rsidRPr="005B747F" w:rsidRDefault="005B747F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Встанов</w:t>
            </w:r>
            <w:r w:rsidR="00596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ить</w:t>
            </w:r>
            <w:r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єдиний та чіткий підхід до обчислення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 суб'єктів господарювання.</w:t>
            </w:r>
          </w:p>
          <w:p w:rsidR="005B747F" w:rsidRPr="005B747F" w:rsidRDefault="005B747F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Сприятиме збереженню, поліпшенню та відновленню стану атмосферного повітря, запобіганню та зниженню рівня його забруднення.</w:t>
            </w:r>
          </w:p>
          <w:p w:rsidR="005B747F" w:rsidRPr="005B747F" w:rsidRDefault="005B747F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зменшення ризику корупційних зловживань.</w:t>
            </w:r>
          </w:p>
          <w:p w:rsidR="005B747F" w:rsidRPr="005B747F" w:rsidRDefault="005B747F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Забезпечить реалізацію вимог законів України «Про охорону навколишнього природного середовища» та «Про охорону атмосферного повітря».</w:t>
            </w:r>
          </w:p>
          <w:p w:rsidR="005B747F" w:rsidRPr="005B747F" w:rsidRDefault="005B747F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Повністю відповідає потребам у вирішенні проблеми.</w:t>
            </w:r>
          </w:p>
        </w:tc>
      </w:tr>
      <w:tr w:rsidR="00C27ED9" w:rsidRPr="0016245F" w:rsidTr="005B747F">
        <w:tc>
          <w:tcPr>
            <w:tcW w:w="2793" w:type="dxa"/>
          </w:tcPr>
          <w:p w:rsidR="00E64A11" w:rsidRPr="00E64A11" w:rsidRDefault="005969C3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uk-UA"/>
              </w:rPr>
              <w:t>Альтернатива 2</w:t>
            </w:r>
          </w:p>
          <w:p w:rsidR="0016245F" w:rsidRPr="0016245F" w:rsidRDefault="0016245F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587" w:type="dxa"/>
          </w:tcPr>
          <w:p w:rsidR="00E64A11" w:rsidRPr="00DE3181" w:rsidRDefault="00E64A11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62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Залишення існуючої на даний момент ситуації без змін</w:t>
            </w:r>
            <w:r w:rsidR="00DE31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uk-UA"/>
              </w:rPr>
              <w:t>:</w:t>
            </w:r>
          </w:p>
          <w:p w:rsidR="000D28B5" w:rsidRPr="008E2D2C" w:rsidRDefault="00DE3181" w:rsidP="00DE3181">
            <w:pPr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uk-UA"/>
              </w:rPr>
              <w:t>п</w:t>
            </w:r>
            <w:proofErr w:type="spellStart"/>
            <w:r w:rsidR="000D28B5" w:rsidRPr="001624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огіршення</w:t>
            </w:r>
            <w:proofErr w:type="spellEnd"/>
            <w:r w:rsidR="000D28B5" w:rsidRPr="001624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r w:rsidR="000D28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стану атмосферного повітря</w:t>
            </w:r>
            <w:r w:rsidR="000D28B5"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D28B5" w:rsidRDefault="00DE3181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52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0D28B5"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ідсутність єдиного підходу до </w:t>
            </w:r>
            <w:r w:rsidR="000D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порядку </w:t>
            </w:r>
            <w:r w:rsidR="000D28B5" w:rsidRPr="00B26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      </w:r>
            <w:r w:rsidR="000D2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(організованими та неорганізованими)</w:t>
            </w:r>
            <w:r w:rsidR="000D28B5" w:rsidRPr="00B26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суб'єктів господарювання</w:t>
            </w:r>
            <w:r w:rsidR="000D2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16245F" w:rsidRPr="0016245F" w:rsidRDefault="00DE3181" w:rsidP="00DE3181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="000D38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снуюча ситуація залишиться без змін, що сприятиме вчиненню порушень у сфері охорони </w:t>
            </w:r>
            <w:r w:rsidR="00B854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атмосферного повітря.</w:t>
            </w:r>
            <w:r w:rsidR="0016245F"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16245F" w:rsidRDefault="0016245F" w:rsidP="00E74DD1">
      <w:pPr>
        <w:spacing w:after="0" w:line="240" w:lineRule="auto"/>
        <w:ind w:left="12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6245F" w:rsidRPr="0016245F" w:rsidRDefault="0016245F" w:rsidP="00E74DD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x-none"/>
        </w:rPr>
        <w:t>Оцінка вибраних альтернативних способів досягнення цілей</w:t>
      </w:r>
    </w:p>
    <w:p w:rsidR="0016245F" w:rsidRPr="0016245F" w:rsidRDefault="0016245F" w:rsidP="00E74DD1">
      <w:pPr>
        <w:spacing w:after="0" w:line="240" w:lineRule="auto"/>
        <w:ind w:left="12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Оцінка впливу на сферу інтересів держави</w:t>
      </w:r>
    </w:p>
    <w:p w:rsidR="00C27ED9" w:rsidRPr="0016245F" w:rsidRDefault="00C27ED9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9"/>
        <w:gridCol w:w="3494"/>
        <w:gridCol w:w="3247"/>
      </w:tblGrid>
      <w:tr w:rsidR="0016245F" w:rsidRPr="0016245F" w:rsidTr="00B8548E">
        <w:tc>
          <w:tcPr>
            <w:tcW w:w="2639" w:type="dxa"/>
          </w:tcPr>
          <w:p w:rsidR="0016245F" w:rsidRPr="0016245F" w:rsidRDefault="0016245F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3494" w:type="dxa"/>
          </w:tcPr>
          <w:p w:rsidR="0016245F" w:rsidRPr="0016245F" w:rsidRDefault="0016245F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Вигоди </w:t>
            </w:r>
          </w:p>
        </w:tc>
        <w:tc>
          <w:tcPr>
            <w:tcW w:w="3247" w:type="dxa"/>
          </w:tcPr>
          <w:p w:rsidR="0016245F" w:rsidRPr="0016245F" w:rsidRDefault="0016245F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Витрати </w:t>
            </w:r>
          </w:p>
        </w:tc>
      </w:tr>
      <w:tr w:rsidR="00B8548E" w:rsidRPr="00B8548E" w:rsidTr="00B8548E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8E" w:rsidRPr="00B8548E" w:rsidRDefault="00B8548E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Альтернатива 1</w:t>
            </w:r>
          </w:p>
          <w:p w:rsidR="00B8548E" w:rsidRPr="00B8548E" w:rsidRDefault="00B8548E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8E" w:rsidRDefault="00B8548E" w:rsidP="00DE3181">
            <w:pPr>
              <w:spacing w:after="0" w:line="240" w:lineRule="auto"/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854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збереження, поліпшення та відновлення стану атмосферного повітря, запобігання та зниження рівня його забруднення</w:t>
            </w:r>
            <w:r w:rsidR="008604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6042E" w:rsidRPr="00B8548E" w:rsidRDefault="0086042E" w:rsidP="00DE3181">
            <w:pPr>
              <w:spacing w:after="0" w:line="240" w:lineRule="auto"/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Зменш</w:t>
            </w:r>
            <w:r w:rsidR="00E40A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кільк</w:t>
            </w:r>
            <w:r w:rsidR="00E40A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</w:t>
            </w:r>
            <w:r w:rsidR="00E40A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правопорушень у сфері охорони атмосферного п</w:t>
            </w:r>
            <w:r w:rsidR="00E40A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овітря та приведення до вимог чинних нормативно-правових актів.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E" w:rsidRDefault="0086042E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8548E" w:rsidRPr="00B8548E" w:rsidRDefault="00B8548E" w:rsidP="00E74D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854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Відсутні</w:t>
            </w:r>
          </w:p>
        </w:tc>
      </w:tr>
      <w:tr w:rsidR="0016245F" w:rsidRPr="0016245F" w:rsidTr="00B8548E">
        <w:tc>
          <w:tcPr>
            <w:tcW w:w="2639" w:type="dxa"/>
          </w:tcPr>
          <w:p w:rsidR="00B8548E" w:rsidRPr="005B747F" w:rsidRDefault="00B8548E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74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Альтернатива </w:t>
            </w:r>
            <w:r w:rsidR="008604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  <w:p w:rsidR="0016245F" w:rsidRPr="0016245F" w:rsidRDefault="0016245F" w:rsidP="00E74D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94" w:type="dxa"/>
          </w:tcPr>
          <w:p w:rsidR="0016245F" w:rsidRPr="0016245F" w:rsidRDefault="0086042E" w:rsidP="00E74D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Ситуація залишиться без змін</w:t>
            </w:r>
          </w:p>
        </w:tc>
        <w:tc>
          <w:tcPr>
            <w:tcW w:w="3247" w:type="dxa"/>
          </w:tcPr>
          <w:p w:rsidR="0086042E" w:rsidRPr="008E2D2C" w:rsidRDefault="0086042E" w:rsidP="00DE3181">
            <w:pPr>
              <w:autoSpaceDE w:val="0"/>
              <w:autoSpaceDN w:val="0"/>
              <w:adjustRightInd w:val="0"/>
              <w:spacing w:after="0" w:line="240" w:lineRule="auto"/>
              <w:ind w:firstLine="44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1. </w:t>
            </w:r>
            <w:r w:rsidRPr="001624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Погіршення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стану атмосферного повітря</w:t>
            </w: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16245F" w:rsidRPr="0086042E" w:rsidRDefault="0086042E" w:rsidP="00DE3181">
            <w:pPr>
              <w:spacing w:after="0" w:line="240" w:lineRule="auto"/>
              <w:ind w:firstLine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Відсутність єдиного підходу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порядку </w:t>
            </w:r>
            <w:r w:rsidRPr="00B26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(організованими та неорганізованими)</w:t>
            </w:r>
            <w:r w:rsidRPr="00B26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суб'єктів господарювання</w:t>
            </w:r>
          </w:p>
        </w:tc>
      </w:tr>
    </w:tbl>
    <w:p w:rsid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394221" w:rsidRPr="00394221" w:rsidRDefault="00394221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4221">
        <w:rPr>
          <w:rFonts w:ascii="Times New Roman" w:eastAsia="Times New Roman" w:hAnsi="Times New Roman" w:cs="Times New Roman"/>
          <w:sz w:val="28"/>
          <w:szCs w:val="28"/>
          <w:lang w:eastAsia="x-none"/>
        </w:rPr>
        <w:t>Оцінка впливу на сферу інтересів громадян</w:t>
      </w:r>
    </w:p>
    <w:p w:rsidR="00394221" w:rsidRPr="00394221" w:rsidRDefault="00394221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4221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поширюється</w:t>
      </w:r>
    </w:p>
    <w:p w:rsidR="00394221" w:rsidRPr="00394221" w:rsidRDefault="00394221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94221" w:rsidRPr="00394221" w:rsidRDefault="00394221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94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Оцінка впливу на сферу інтересів суб’єктів господарювання</w:t>
      </w:r>
      <w:r w:rsidRPr="00394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uk-UA"/>
        </w:rPr>
        <w:footnoteReference w:id="1"/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73"/>
        <w:gridCol w:w="1276"/>
        <w:gridCol w:w="1275"/>
        <w:gridCol w:w="993"/>
        <w:gridCol w:w="1134"/>
        <w:gridCol w:w="1242"/>
      </w:tblGrid>
      <w:tr w:rsidR="00394221" w:rsidRPr="00394221" w:rsidTr="000E5C87">
        <w:tc>
          <w:tcPr>
            <w:tcW w:w="3573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Показник</w:t>
            </w:r>
          </w:p>
        </w:tc>
        <w:tc>
          <w:tcPr>
            <w:tcW w:w="1276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Великі</w:t>
            </w:r>
          </w:p>
        </w:tc>
        <w:tc>
          <w:tcPr>
            <w:tcW w:w="1275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Середні</w:t>
            </w:r>
          </w:p>
        </w:tc>
        <w:tc>
          <w:tcPr>
            <w:tcW w:w="993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Малі</w:t>
            </w:r>
          </w:p>
        </w:tc>
        <w:tc>
          <w:tcPr>
            <w:tcW w:w="1134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Мікро</w:t>
            </w:r>
          </w:p>
        </w:tc>
        <w:tc>
          <w:tcPr>
            <w:tcW w:w="1242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Разом</w:t>
            </w:r>
          </w:p>
        </w:tc>
      </w:tr>
      <w:tr w:rsidR="00394221" w:rsidRPr="00394221" w:rsidTr="000E5C87">
        <w:tc>
          <w:tcPr>
            <w:tcW w:w="3573" w:type="dxa"/>
          </w:tcPr>
          <w:p w:rsidR="00394221" w:rsidRPr="00394221" w:rsidRDefault="00394221" w:rsidP="000E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276" w:type="dxa"/>
          </w:tcPr>
          <w:p w:rsidR="00394221" w:rsidRPr="00394221" w:rsidRDefault="00E46899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4645</w:t>
            </w:r>
          </w:p>
        </w:tc>
        <w:tc>
          <w:tcPr>
            <w:tcW w:w="1275" w:type="dxa"/>
          </w:tcPr>
          <w:p w:rsidR="00394221" w:rsidRPr="00394221" w:rsidRDefault="00E46899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1991</w:t>
            </w:r>
          </w:p>
        </w:tc>
        <w:tc>
          <w:tcPr>
            <w:tcW w:w="993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134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242" w:type="dxa"/>
          </w:tcPr>
          <w:p w:rsidR="00394221" w:rsidRPr="00394221" w:rsidRDefault="00E46899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6636</w:t>
            </w:r>
            <w:r w:rsidR="00625FE2" w:rsidRPr="0039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*</w:t>
            </w:r>
          </w:p>
        </w:tc>
      </w:tr>
      <w:tr w:rsidR="00394221" w:rsidRPr="00394221" w:rsidTr="000E5C87">
        <w:tc>
          <w:tcPr>
            <w:tcW w:w="3573" w:type="dxa"/>
          </w:tcPr>
          <w:p w:rsidR="00394221" w:rsidRPr="00394221" w:rsidRDefault="00394221" w:rsidP="000E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</w:tcPr>
          <w:p w:rsidR="00394221" w:rsidRPr="00394221" w:rsidRDefault="00E46899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70%</w:t>
            </w:r>
          </w:p>
        </w:tc>
        <w:tc>
          <w:tcPr>
            <w:tcW w:w="1275" w:type="dxa"/>
          </w:tcPr>
          <w:p w:rsidR="00394221" w:rsidRPr="00394221" w:rsidRDefault="00E46899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3</w:t>
            </w:r>
            <w:r w:rsidR="00394221" w:rsidRPr="00394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0 %</w:t>
            </w:r>
          </w:p>
        </w:tc>
        <w:tc>
          <w:tcPr>
            <w:tcW w:w="993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134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242" w:type="dxa"/>
          </w:tcPr>
          <w:p w:rsidR="00394221" w:rsidRPr="00394221" w:rsidRDefault="00394221" w:rsidP="000E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4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100%</w:t>
            </w:r>
          </w:p>
        </w:tc>
      </w:tr>
    </w:tbl>
    <w:p w:rsidR="00394221" w:rsidRPr="00394221" w:rsidRDefault="00394221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42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lastRenderedPageBreak/>
        <w:t>*</w:t>
      </w:r>
      <w:r w:rsidRPr="003942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Кількість перевір</w:t>
      </w:r>
      <w:r w:rsidR="00A903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ених суб’єктів господарювання </w:t>
      </w:r>
      <w:r w:rsidRPr="003942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даними державного нагляду (контролю) за додержанням вимог законодавства </w:t>
      </w:r>
      <w:r w:rsidR="00A903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сфері охорони атмосферного повітря за </w:t>
      </w:r>
      <w:r w:rsidRPr="003942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2018</w:t>
      </w:r>
      <w:r w:rsidRPr="003942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A90304">
        <w:rPr>
          <w:rFonts w:ascii="Times New Roman" w:eastAsia="Times New Roman" w:hAnsi="Times New Roman" w:cs="Times New Roman"/>
          <w:sz w:val="24"/>
          <w:szCs w:val="24"/>
          <w:lang w:eastAsia="uk-UA"/>
        </w:rPr>
        <w:t>ік</w:t>
      </w:r>
      <w:r w:rsidRPr="0039422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94221" w:rsidRPr="00394221" w:rsidRDefault="00394221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42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</w:p>
    <w:p w:rsidR="00394221" w:rsidRDefault="00394221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Оцінка впливу на сферу інтересів суб’єктів господарювання</w:t>
      </w:r>
    </w:p>
    <w:p w:rsidR="003632E4" w:rsidRDefault="003632E4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7"/>
        <w:gridCol w:w="5400"/>
        <w:gridCol w:w="2160"/>
      </w:tblGrid>
      <w:tr w:rsidR="003632E4" w:rsidRPr="006E618F" w:rsidTr="00DA22F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2E4" w:rsidRPr="006E618F" w:rsidRDefault="003632E4" w:rsidP="00E74DD1">
            <w:pPr>
              <w:pStyle w:val="TableContents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6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  <w:proofErr w:type="spellEnd"/>
            <w:r w:rsidRPr="006E6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6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альтернативи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2E4" w:rsidRPr="006E618F" w:rsidRDefault="003632E4" w:rsidP="00E74DD1">
            <w:pPr>
              <w:pStyle w:val="TableContents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6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2E4" w:rsidRPr="006E618F" w:rsidRDefault="003632E4" w:rsidP="00E74DD1">
            <w:pPr>
              <w:pStyle w:val="TableContents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6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Витрати</w:t>
            </w:r>
            <w:proofErr w:type="spellEnd"/>
          </w:p>
        </w:tc>
      </w:tr>
      <w:tr w:rsidR="003632E4" w:rsidRPr="00041BEB" w:rsidTr="00DA22F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2E4" w:rsidRPr="00041BEB" w:rsidRDefault="003632E4" w:rsidP="000E5C87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41BE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Альтернатива 1</w:t>
            </w:r>
          </w:p>
          <w:p w:rsidR="003632E4" w:rsidRPr="00041BEB" w:rsidRDefault="003632E4" w:rsidP="00E74DD1">
            <w:pPr>
              <w:pStyle w:val="TableContents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2E4" w:rsidRDefault="00E87DA2" w:rsidP="000E5C87">
            <w:pPr>
              <w:pStyle w:val="TableContents"/>
              <w:spacing w:line="240" w:lineRule="auto"/>
              <w:ind w:firstLine="42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прозорому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правовому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полі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що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виявляється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чіткому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розумінні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ними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наслідків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порушення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вимог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законодавства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сфері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охорони</w:t>
            </w:r>
            <w:proofErr w:type="spellEnd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атмосферного </w:t>
            </w:r>
            <w:proofErr w:type="spellStart"/>
            <w:r w:rsidR="002339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повітря</w:t>
            </w:r>
            <w:proofErr w:type="spellEnd"/>
            <w:r w:rsidR="00FC1F1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3632E4" w:rsidRPr="00FC1F13" w:rsidRDefault="00FC1F13" w:rsidP="000E5C87">
            <w:pPr>
              <w:widowControl w:val="0"/>
              <w:spacing w:after="0" w:line="240" w:lineRule="atLeast"/>
              <w:ind w:firstLine="4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створення дієвого механізму, що буде стимулювати суб’єктів господарювання до здійснення діяльності без порушення законодавства у сфері охорони атмосферного повітря.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2AA" w:rsidRDefault="006B62AA" w:rsidP="006B62AA">
            <w:pPr>
              <w:pStyle w:val="TableContents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B62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194745,349</w:t>
            </w:r>
          </w:p>
          <w:p w:rsidR="003632E4" w:rsidRPr="006B62AA" w:rsidRDefault="006B62AA" w:rsidP="006B62AA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6B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spellEnd"/>
            <w:r w:rsidRPr="006B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B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6B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2E4" w:rsidRPr="00E40AC0" w:rsidTr="00DA22F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2E4" w:rsidRPr="00E40AC0" w:rsidRDefault="003632E4" w:rsidP="000E5C87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Альтернатива 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2E4" w:rsidRPr="00E40AC0" w:rsidRDefault="003632E4" w:rsidP="000E5C87">
            <w:pPr>
              <w:pStyle w:val="TableContents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Ситуація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залишиться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2E4" w:rsidRPr="00E40AC0" w:rsidRDefault="003632E4" w:rsidP="000E5C87">
            <w:pPr>
              <w:pStyle w:val="TableContents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0AC0">
              <w:rPr>
                <w:rFonts w:ascii="Times New Roman" w:hAnsi="Times New Roman" w:cs="Times New Roman"/>
                <w:bCs/>
                <w:sz w:val="28"/>
                <w:szCs w:val="28"/>
              </w:rPr>
              <w:t>відсутні</w:t>
            </w:r>
            <w:proofErr w:type="spellEnd"/>
          </w:p>
        </w:tc>
      </w:tr>
    </w:tbl>
    <w:p w:rsidR="00271C37" w:rsidRDefault="00271C37" w:rsidP="00E74DD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71C37" w:rsidRDefault="00271C37" w:rsidP="00E74DD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76E3" w:rsidRPr="000D76E3" w:rsidRDefault="000D76E3" w:rsidP="00E74DD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6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ВИТРАТИ</w:t>
      </w:r>
    </w:p>
    <w:p w:rsidR="000D76E3" w:rsidRPr="000D76E3" w:rsidRDefault="000D76E3" w:rsidP="00E74DD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6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0D76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акта</w:t>
      </w:r>
      <w:proofErr w:type="spellEnd"/>
    </w:p>
    <w:p w:rsidR="000D76E3" w:rsidRPr="000D76E3" w:rsidRDefault="000D76E3" w:rsidP="00E74DD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76E3" w:rsidRPr="000D76E3" w:rsidRDefault="000D76E3" w:rsidP="00E74DD1">
      <w:pPr>
        <w:tabs>
          <w:tab w:val="left" w:pos="12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кількість суб’єктів господарювання </w:t>
      </w:r>
      <w:r w:rsidR="00412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великого та </w:t>
      </w: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середнього підприємництва (</w:t>
      </w:r>
      <w:r w:rsidR="00412D5D">
        <w:rPr>
          <w:rFonts w:ascii="Times New Roman" w:eastAsia="Times New Roman" w:hAnsi="Times New Roman" w:cs="Times New Roman"/>
          <w:sz w:val="28"/>
          <w:szCs w:val="28"/>
          <w:lang w:eastAsia="ar-SA"/>
        </w:rPr>
        <w:t>976</w:t>
      </w: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умовно прийнято кількість претензій пред’явлених на відшкодування збитків, заподіяних внаслідок </w:t>
      </w:r>
      <w:r w:rsidR="00412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наднормативних викидів в атмосферне повітря </w:t>
      </w: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даними державного нагляду (контролю) за додержанням вимог природоохоронного законодавства </w:t>
      </w:r>
      <w:r w:rsidR="00412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>2018 р</w:t>
      </w:r>
      <w:r w:rsidR="00412D5D">
        <w:rPr>
          <w:rFonts w:ascii="Times New Roman" w:eastAsia="Times New Roman" w:hAnsi="Times New Roman" w:cs="Times New Roman"/>
          <w:sz w:val="28"/>
          <w:szCs w:val="28"/>
          <w:lang w:eastAsia="ar-SA"/>
        </w:rPr>
        <w:t>ік:</w:t>
      </w:r>
    </w:p>
    <w:p w:rsidR="000D76E3" w:rsidRPr="000D76E3" w:rsidRDefault="000D76E3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D76E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у 2018 року: </w:t>
      </w:r>
      <w:r w:rsidR="00412D5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976</w:t>
      </w:r>
      <w:r w:rsidRPr="000D76E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r w:rsidRPr="000D76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претензій на загальну суму </w:t>
      </w:r>
      <w:r w:rsidR="00412D5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194745,349</w:t>
      </w:r>
      <w:r w:rsidRPr="000D76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тис. грн.</w:t>
      </w:r>
    </w:p>
    <w:p w:rsidR="000D76E3" w:rsidRPr="000D76E3" w:rsidRDefault="000D76E3" w:rsidP="00E74DD1">
      <w:pPr>
        <w:spacing w:after="0" w:line="240" w:lineRule="auto"/>
        <w:ind w:left="450" w:right="450" w:firstLine="567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76E3" w:rsidRPr="000D76E3" w:rsidRDefault="000D76E3" w:rsidP="00E74DD1">
      <w:pPr>
        <w:tabs>
          <w:tab w:val="left" w:pos="12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2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5338"/>
        <w:gridCol w:w="1798"/>
      </w:tblGrid>
      <w:tr w:rsidR="000D76E3" w:rsidRPr="000D76E3" w:rsidTr="002322E1">
        <w:trPr>
          <w:jc w:val="center"/>
        </w:trPr>
        <w:tc>
          <w:tcPr>
            <w:tcW w:w="7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10"/>
            <w:bookmarkEnd w:id="2"/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перший рік</w:t>
            </w:r>
          </w:p>
        </w:tc>
      </w:tr>
      <w:tr w:rsidR="000D76E3" w:rsidRPr="000D76E3" w:rsidTr="002322E1">
        <w:trPr>
          <w:trHeight w:val="1121"/>
          <w:jc w:val="center"/>
        </w:trPr>
        <w:tc>
          <w:tcPr>
            <w:tcW w:w="751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137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412D5D" w:rsidP="00E74DD1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194745,349</w:t>
            </w:r>
            <w:r w:rsidR="000362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D76E3"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  <w:p w:rsidR="000D76E3" w:rsidRPr="000D76E3" w:rsidRDefault="000D76E3" w:rsidP="00E74DD1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Витрати, пов’язані із </w:t>
            </w:r>
            <w:proofErr w:type="spellStart"/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наймом</w:t>
            </w:r>
            <w:proofErr w:type="spellEnd"/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додаткового персоналу, гривень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 (заповнення форми заяви, підготовка пакету документів), гривень: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036262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194745,349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D76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="000D76E3"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036262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0D76E3" w:rsidRPr="000D76E3" w:rsidTr="002322E1">
        <w:trPr>
          <w:jc w:val="center"/>
        </w:trPr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</w:tcPr>
          <w:p w:rsidR="000D76E3" w:rsidRPr="000D76E3" w:rsidRDefault="000D76E3" w:rsidP="00E74DD1">
            <w:pPr>
              <w:spacing w:before="150" w:after="15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Сумарні витрати суб’єктів господарювання великого та середнього підприємництва, на виконання регулювання (вартість регулювання) 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6E3" w:rsidRPr="000D76E3" w:rsidRDefault="00625FE2" w:rsidP="00E74DD1">
            <w:pPr>
              <w:spacing w:before="150" w:after="15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194745,349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D76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0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</w:tr>
    </w:tbl>
    <w:p w:rsidR="000D76E3" w:rsidRPr="0016245F" w:rsidRDefault="000D76E3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6245F" w:rsidRPr="0016245F" w:rsidRDefault="0016245F" w:rsidP="00E74D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IV</w:t>
      </w:r>
      <w:r w:rsidR="00625F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Вибір найбільш оптимального альтернативного способу досягнення цілей</w:t>
      </w:r>
    </w:p>
    <w:p w:rsidR="0016245F" w:rsidRPr="0016245F" w:rsidRDefault="0016245F" w:rsidP="00E74D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684"/>
        <w:gridCol w:w="3527"/>
      </w:tblGrid>
      <w:tr w:rsidR="0016245F" w:rsidRPr="0016245F" w:rsidTr="0023398F">
        <w:tc>
          <w:tcPr>
            <w:tcW w:w="4503" w:type="dxa"/>
          </w:tcPr>
          <w:p w:rsidR="0016245F" w:rsidRPr="0016245F" w:rsidRDefault="0016245F" w:rsidP="00E74DD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245F" w:rsidRPr="0016245F" w:rsidRDefault="0016245F" w:rsidP="00E74DD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624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684" w:type="dxa"/>
          </w:tcPr>
          <w:p w:rsidR="0016245F" w:rsidRPr="0016245F" w:rsidRDefault="0016245F" w:rsidP="00E74DD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624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Бал результативності (за чотирибальною </w:t>
            </w:r>
            <w:r w:rsidRPr="001624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системою оцінки)</w:t>
            </w:r>
          </w:p>
        </w:tc>
        <w:tc>
          <w:tcPr>
            <w:tcW w:w="3527" w:type="dxa"/>
          </w:tcPr>
          <w:p w:rsidR="0016245F" w:rsidRPr="0016245F" w:rsidRDefault="0016245F" w:rsidP="00E74DD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624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Коментарі щодо присвоєння відповідного </w:t>
            </w:r>
            <w:proofErr w:type="spellStart"/>
            <w:r w:rsidRPr="001624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бала</w:t>
            </w:r>
            <w:proofErr w:type="spellEnd"/>
          </w:p>
        </w:tc>
      </w:tr>
      <w:tr w:rsidR="0023398F" w:rsidRPr="0016245F" w:rsidTr="0023398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F" w:rsidRPr="0023398F" w:rsidRDefault="00010879" w:rsidP="00E74DD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Альтернатива 1</w:t>
            </w:r>
          </w:p>
          <w:p w:rsidR="0023398F" w:rsidRPr="0023398F" w:rsidRDefault="0023398F" w:rsidP="00E74DD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3398F" w:rsidRPr="0016245F" w:rsidRDefault="0023398F" w:rsidP="00E74DD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F" w:rsidRPr="0016245F" w:rsidRDefault="0023398F" w:rsidP="00E74DD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624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F" w:rsidRPr="00CC1906" w:rsidRDefault="00CC1906" w:rsidP="000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Прийняття запропонованого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встановить </w:t>
            </w:r>
            <w:r w:rsidRPr="00162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єдиний порядок </w:t>
            </w: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обчислення розміру відшкодування та сплати збитків,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які заподіяні державі в результатів наднормативних викидів </w:t>
            </w:r>
            <w:r w:rsidRPr="001E61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забруднюючих речовин в атмосферне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повітря</w:t>
            </w:r>
          </w:p>
        </w:tc>
      </w:tr>
      <w:tr w:rsidR="0016245F" w:rsidRPr="0016245F" w:rsidTr="0023398F">
        <w:tc>
          <w:tcPr>
            <w:tcW w:w="4503" w:type="dxa"/>
          </w:tcPr>
          <w:p w:rsidR="0016245F" w:rsidRPr="0016245F" w:rsidRDefault="00DD60ED" w:rsidP="00E74DD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</w:t>
            </w:r>
          </w:p>
          <w:p w:rsidR="0016245F" w:rsidRPr="0016245F" w:rsidRDefault="0016245F" w:rsidP="00E74DD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45F" w:rsidRPr="0016245F" w:rsidRDefault="0016245F" w:rsidP="00E74DD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</w:tcPr>
          <w:p w:rsidR="0016245F" w:rsidRPr="0016245F" w:rsidRDefault="0016245F" w:rsidP="00E74DD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624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7" w:type="dxa"/>
          </w:tcPr>
          <w:p w:rsidR="0016245F" w:rsidRDefault="00010879" w:rsidP="000E5C87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Цілі прийняття регуляторного </w:t>
            </w:r>
            <w:proofErr w:type="spellStart"/>
            <w:r w:rsidRPr="00010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 w:rsidRPr="00010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будуть досягнуті (проблема продовжує існувати)</w:t>
            </w:r>
          </w:p>
          <w:p w:rsidR="00346645" w:rsidRPr="008E2D2C" w:rsidRDefault="00346645" w:rsidP="000E5C8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Погіршення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стану атмосферного повітря</w:t>
            </w: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46645" w:rsidRDefault="00346645" w:rsidP="000E5C87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Відсутність єдиного підходу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порядку </w:t>
            </w:r>
            <w:r w:rsidRPr="00B26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(організованими та неорганізованими)</w:t>
            </w:r>
            <w:r w:rsidRPr="00B26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суб'єктів господарювання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46645" w:rsidRPr="00010879" w:rsidRDefault="00346645" w:rsidP="000E5C87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Існуюча ситуація залишиться без змін, що сприятиме вчиненню порушень у сфері охорони атмосферного повітря.</w:t>
            </w:r>
          </w:p>
        </w:tc>
      </w:tr>
    </w:tbl>
    <w:p w:rsidR="0016245F" w:rsidRPr="0016245F" w:rsidRDefault="0016245F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6245F" w:rsidRPr="0016245F" w:rsidRDefault="0016245F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919"/>
        <w:gridCol w:w="2410"/>
        <w:gridCol w:w="3260"/>
      </w:tblGrid>
      <w:tr w:rsidR="0016245F" w:rsidRPr="0016245F" w:rsidTr="00EC37AE">
        <w:trPr>
          <w:trHeight w:val="55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5F" w:rsidRPr="0016245F" w:rsidRDefault="0016245F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Рейтинг результативності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5F" w:rsidRPr="0016245F" w:rsidRDefault="0016245F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Вигоди (підсумок)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5F" w:rsidRPr="0016245F" w:rsidRDefault="0016245F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Витрати (підсумок)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5F" w:rsidRPr="0016245F" w:rsidRDefault="0016245F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CC1906" w:rsidRPr="0016245F" w:rsidTr="00CC1906">
        <w:trPr>
          <w:trHeight w:val="55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06" w:rsidRPr="0016245F" w:rsidRDefault="00CC1906" w:rsidP="000E5C8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Альтернатива 1</w:t>
            </w:r>
            <w:r w:rsidRPr="00162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CC1906" w:rsidRPr="0016245F" w:rsidRDefault="00CC1906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CC1906" w:rsidRPr="0016245F" w:rsidRDefault="00CC1906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90" w:rsidRPr="007C5F90" w:rsidRDefault="007C5F90" w:rsidP="000E5C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Зменшення правопоруше</w:t>
            </w:r>
            <w:r w:rsidRPr="007C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нь у сфері охорони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атмосферного повітря</w:t>
            </w:r>
            <w:r w:rsidRPr="007C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5F90" w:rsidRDefault="007C5F90" w:rsidP="000E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854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збереження, поліпшення та відновлення стану атмосферного повітря, запобігання та зниження рівня його забруднення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CC1906" w:rsidRPr="0016245F" w:rsidRDefault="007C5F90" w:rsidP="000E5C8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Здійснення господарської діяльності в прозорому правовому полі, що виявляється у чіткому розумінні ними наслідків порушення вимог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законодавства у сфері охорони атмосферного повітря</w:t>
            </w:r>
            <w:r w:rsidRPr="007C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1906" w:rsidRPr="00CC1906" w:rsidRDefault="00CC1906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06" w:rsidRPr="00CC1906" w:rsidRDefault="00CC1906" w:rsidP="000E5C8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19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Додаткових фінансових </w:t>
            </w:r>
            <w:r w:rsidRPr="00CC19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витрат не передбачається.</w:t>
            </w:r>
          </w:p>
          <w:p w:rsidR="00CC1906" w:rsidRPr="00CC1906" w:rsidRDefault="00CC1906" w:rsidP="000E5C8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19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разі прийняття акту: </w:t>
            </w:r>
          </w:p>
          <w:p w:rsidR="00CC1906" w:rsidRPr="0016245F" w:rsidRDefault="00CC1906" w:rsidP="000E5C8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держави – передбачається стабільне наповнення державного бюджету.</w:t>
            </w:r>
          </w:p>
          <w:p w:rsidR="00CC1906" w:rsidRPr="0016245F" w:rsidRDefault="00CC1906" w:rsidP="000E5C8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громадян витрати не передбачаються.</w:t>
            </w:r>
          </w:p>
          <w:p w:rsidR="00CC1906" w:rsidRPr="0016245F" w:rsidRDefault="00CC1906" w:rsidP="000E5C8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суб’єктів господарювання – витати передбачаються у разі порушення вимог природоохоронного законодавства</w:t>
            </w:r>
          </w:p>
          <w:p w:rsidR="00CC1906" w:rsidRPr="00CC1906" w:rsidRDefault="00CC1906" w:rsidP="000E5C8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19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Організаційне, матеріально-технічне забезпечення діяльності пов’язаної з нарахуванням та пред’явленням збитків здійснюватиметься Державною екологічною інспекцією та її територіальними органами в межах відповідного бюджетного фінансування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06" w:rsidRPr="00CC1906" w:rsidRDefault="00CC1906" w:rsidP="0026375C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19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Цілі прийняття регуляторного </w:t>
            </w:r>
            <w:proofErr w:type="spellStart"/>
            <w:r w:rsidRPr="00CC19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акта</w:t>
            </w:r>
            <w:proofErr w:type="spellEnd"/>
            <w:r w:rsidRPr="00CC19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можуть бути реалізовані </w:t>
            </w:r>
            <w:r w:rsidRPr="00CC19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повною мірою, що повністю забезпечить потребу у вирішенні проблеми, встановить </w:t>
            </w:r>
            <w:r w:rsidRPr="00162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однозначні прозорі вимоги під час обчислення розміру відшкодування та сплати збитків, заподіяних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результаті наднормативних викидів забруднюючих речовин в атмосферне повітря</w:t>
            </w:r>
          </w:p>
        </w:tc>
      </w:tr>
      <w:tr w:rsidR="0016245F" w:rsidRPr="0016245F" w:rsidTr="00EC37AE">
        <w:trPr>
          <w:trHeight w:val="856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5F" w:rsidRPr="0016245F" w:rsidRDefault="008C3806" w:rsidP="0026375C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Альтернатива 2</w:t>
            </w:r>
            <w:r w:rsidR="0016245F" w:rsidRPr="00162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16245F" w:rsidRPr="0016245F" w:rsidRDefault="0016245F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45F" w:rsidRPr="0016245F" w:rsidRDefault="0016245F" w:rsidP="00E74DD1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5F" w:rsidRPr="0016245F" w:rsidRDefault="008C3806" w:rsidP="0026375C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Ситуація залишиться без змін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5F" w:rsidRPr="0016245F" w:rsidRDefault="008C3806" w:rsidP="0026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Відсутні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5F" w:rsidRPr="008C3806" w:rsidRDefault="008C3806" w:rsidP="0026375C">
            <w:pPr>
              <w:widowControl w:val="0"/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38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Цілі державного регулювання не будуть досягнуті. Сприятиме допущенню порушень природоохоронного законодавства.</w:t>
            </w:r>
          </w:p>
        </w:tc>
      </w:tr>
    </w:tbl>
    <w:p w:rsidR="0016245F" w:rsidRDefault="0016245F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B086E" w:rsidRPr="004B086E" w:rsidRDefault="004B086E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оцінки впливу на сферу інтересів суб’єктів господарювання, які будуть виникати внаслідок дії регуляторного акту, та розрахунок сумарних витрат суб’єктів господарювання розраховувати </w:t>
      </w:r>
      <w:r w:rsidR="0071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неможливо, </w:t>
      </w:r>
      <w:r w:rsidRPr="004B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</w:t>
      </w:r>
      <w:r w:rsidR="0071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окремого </w:t>
      </w:r>
      <w:r w:rsidR="0062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r w:rsidR="0071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 можливо у разі виявлення </w:t>
      </w:r>
      <w:r w:rsidR="0062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наднормативних викидів в атмосферне повітря тільки під час здійснення заходів державного нагляду (контролю). </w:t>
      </w:r>
    </w:p>
    <w:p w:rsidR="004B086E" w:rsidRPr="0016245F" w:rsidRDefault="004B086E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6245F" w:rsidRPr="0016245F" w:rsidRDefault="0016245F" w:rsidP="00E74D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="00625F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16245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</w:t>
      </w:r>
      <w:proofErr w:type="spellStart"/>
      <w:r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еханізми</w:t>
      </w:r>
      <w:proofErr w:type="spellEnd"/>
      <w:r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заходи, які забезпечать розв’язання визначеної проблеми</w:t>
      </w:r>
    </w:p>
    <w:p w:rsidR="008C3806" w:rsidRPr="0056761F" w:rsidRDefault="008C3806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6761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1. </w:t>
      </w:r>
      <w:r w:rsidR="0056761F" w:rsidRPr="0056761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Механізм дії регуляторного </w:t>
      </w:r>
      <w:proofErr w:type="spellStart"/>
      <w:r w:rsidR="0056761F" w:rsidRPr="0056761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акта</w:t>
      </w:r>
      <w:proofErr w:type="spellEnd"/>
    </w:p>
    <w:p w:rsidR="0056761F" w:rsidRPr="008C3806" w:rsidRDefault="0056761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 механізмом для розв’язання визн</w:t>
      </w:r>
      <w:r w:rsidR="004737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аченої проблеми є прийняття </w:t>
      </w:r>
      <w:proofErr w:type="spellStart"/>
      <w:r w:rsidR="004737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та фактична реалізація його положень.</w:t>
      </w:r>
    </w:p>
    <w:p w:rsidR="00944137" w:rsidRPr="005B747F" w:rsidRDefault="00473725" w:rsidP="00944137">
      <w:pPr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56761F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 w:rsidR="00567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забезпечить приведення у відповідність </w:t>
      </w:r>
      <w:r w:rsidR="009B2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вимог чинного законодавства, </w:t>
      </w:r>
      <w:r w:rsidR="0057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</w:t>
      </w:r>
      <w:r w:rsidR="00571609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 підходу</w:t>
      </w:r>
      <w:r w:rsidR="00571609"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571609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609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 суб'єктів господарювання</w:t>
      </w:r>
      <w:r w:rsidR="009B2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71609" w:rsidRPr="0016245F">
        <w:rPr>
          <w:rFonts w:ascii="Times New Roman" w:eastAsia="Times New Roman" w:hAnsi="Times New Roman" w:cs="Courier New"/>
          <w:sz w:val="28"/>
          <w:szCs w:val="28"/>
          <w:lang w:eastAsia="ru-RU"/>
        </w:rPr>
        <w:t>прозоре та</w:t>
      </w:r>
      <w:r w:rsidR="009B203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зрозуміле нарахування збитків.</w:t>
      </w:r>
      <w:r w:rsidR="0026375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ED1C8A">
        <w:rPr>
          <w:rFonts w:ascii="Times New Roman" w:eastAsia="Times New Roman" w:hAnsi="Times New Roman" w:cs="Courier New"/>
          <w:sz w:val="28"/>
          <w:szCs w:val="28"/>
          <w:lang w:eastAsia="ru-RU"/>
        </w:rPr>
        <w:t>З</w:t>
      </w:r>
      <w:r w:rsidR="00E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апровадить створення дієвого механізму, що буде стимулювати суб’єктів господарювання до здійснення діяльності без порушення вимог законодавства у сфері охорони атмосферного повітря, вимог з дотримання умов виданих дозволів на викиди забруднюючих речовин в атмосферне повітря</w:t>
      </w:r>
      <w:r w:rsidR="00944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зменшить кількість правопорушень у сфері охорони атмосферного повітря та приведення до вимог чинних нормативно-правових актів. </w:t>
      </w:r>
      <w:r w:rsidR="00944137" w:rsidRPr="005B747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Сприятиме збереженню, поліпшенню та відновленню стану атмосферного повітря, запобіганню та зниженню рівня його забруднення.</w:t>
      </w:r>
    </w:p>
    <w:p w:rsidR="001404FA" w:rsidRPr="001404FA" w:rsidRDefault="001404FA" w:rsidP="00E74D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Проектом </w:t>
      </w:r>
      <w:proofErr w:type="spellStart"/>
      <w:r w:rsidRPr="0014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акта</w:t>
      </w:r>
      <w:proofErr w:type="spellEnd"/>
      <w:r w:rsidRPr="0014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пропонується, зокрема</w:t>
      </w:r>
      <w:r w:rsidRPr="00140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B2035" w:rsidRDefault="001404FA" w:rsidP="00E74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04FA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</w:t>
      </w:r>
      <w:r w:rsidRPr="00140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140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визначення розмірів відшкодування збитків, заподіяних державі в результаті наднормативних викидів забруднюючих речовин в атмосферне повітря</w:t>
      </w:r>
      <w:r w:rsidR="00EB6C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B6CCB" w:rsidRPr="00EB6CCB">
        <w:rPr>
          <w:rFonts w:ascii="Times New Roman" w:eastAsia="Calibri" w:hAnsi="Times New Roman" w:cs="Times New Roman"/>
          <w:sz w:val="28"/>
          <w:szCs w:val="28"/>
          <w:lang w:eastAsia="uk-UA"/>
        </w:rPr>
        <w:t>викиди забруднюючих речовин, які перевищують затверджені гранично допустимі викиди, встановлені дозволом;</w:t>
      </w:r>
      <w:bookmarkStart w:id="3" w:name="o47"/>
      <w:bookmarkEnd w:id="3"/>
      <w:r w:rsidR="00EB6CCB" w:rsidRPr="00EB6CC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викиди забруднюючих речовин, на які відсутній дозвіл, уключаючи окремі забруднюючі речовини, викиди яких підлягають регулюванню відповідно до законодавства;</w:t>
      </w:r>
      <w:bookmarkStart w:id="4" w:name="o48"/>
      <w:bookmarkEnd w:id="4"/>
      <w:r w:rsidR="00EB6CCB" w:rsidRPr="00EB6CC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викиди, що здійснюються з перевищенням технологічних нормативів допустимих викидів забруднюючих речовин, що відводяться від окремих типів обладнання, споруд у місці їх виходу з устаткування, встановлені у дозволі; викиди, які здійснюються у разі невиконання в установлені в дозволі терміни запланованих заходів щодо скорочення викидів забруднюючих речовин;</w:t>
      </w:r>
      <w:bookmarkStart w:id="5" w:name="o49"/>
      <w:bookmarkStart w:id="6" w:name="o51"/>
      <w:bookmarkEnd w:id="5"/>
      <w:bookmarkEnd w:id="6"/>
      <w:r w:rsidR="00EB6CC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аварійні викиди)</w:t>
      </w:r>
      <w:r w:rsidRPr="00140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стаціонарними джерелами здійснених юридичними особами незалежно від форми власності та господарювання, фізичними особами-підприємцями, а також юридичними особами-нерезидентами</w:t>
      </w:r>
      <w:r w:rsidR="002637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6375C" w:rsidRPr="001404FA" w:rsidRDefault="0026375C" w:rsidP="00E74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035" w:rsidRPr="009B2035" w:rsidRDefault="009B2035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03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2. Організаційні заходи впровадження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акта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 дію</w:t>
      </w:r>
    </w:p>
    <w:p w:rsidR="0016245F" w:rsidRDefault="0016245F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впровадження цього регуляторного </w:t>
      </w:r>
      <w:proofErr w:type="spellStart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</w:t>
      </w:r>
      <w:r w:rsidR="0059231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інформування громадськості про вимоги регуляторного акту шляхом </w:t>
      </w: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оприлюднення його в мережі Інтернет - на офіційних веб-сайтах </w:t>
      </w:r>
      <w:proofErr w:type="spellStart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</w:t>
      </w:r>
      <w:r w:rsidR="00AA1C4A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екоенерго</w:t>
      </w:r>
      <w:proofErr w:type="spellEnd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Держекоінспекції</w:t>
      </w:r>
      <w:proofErr w:type="spellEnd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9231D" w:rsidRDefault="0059231D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Ризику впливу зовнішніх факторів на дію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немає.</w:t>
      </w:r>
    </w:p>
    <w:p w:rsidR="0059231D" w:rsidRPr="0016245F" w:rsidRDefault="0059231D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Можлива шкода у разі очікуваних наслідків 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прогнозується.</w:t>
      </w:r>
    </w:p>
    <w:p w:rsidR="0016245F" w:rsidRPr="0016245F" w:rsidRDefault="0016245F" w:rsidP="00E74DD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</w:p>
    <w:p w:rsidR="0016245F" w:rsidRPr="0016245F" w:rsidRDefault="0016245F" w:rsidP="00E74DD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 w:rsidRPr="001624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x-none"/>
        </w:rPr>
        <w:t>V</w:t>
      </w:r>
      <w:r w:rsidRPr="001624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>І</w:t>
      </w:r>
      <w:r w:rsidR="00625F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>.</w:t>
      </w:r>
      <w:r w:rsidRPr="001624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 xml:space="preserve"> Оцінка виконання вимог регуляторного </w:t>
      </w:r>
      <w:proofErr w:type="spellStart"/>
      <w:r w:rsidRPr="001624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>акта</w:t>
      </w:r>
      <w:proofErr w:type="spellEnd"/>
      <w:r w:rsidRPr="001624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16245F" w:rsidRPr="0016245F" w:rsidRDefault="0016245F" w:rsidP="00E74DD1">
      <w:pPr>
        <w:tabs>
          <w:tab w:val="num" w:pos="0"/>
        </w:tabs>
        <w:spacing w:after="0" w:line="480" w:lineRule="auto"/>
        <w:ind w:firstLine="567"/>
        <w:rPr>
          <w:rFonts w:ascii="Times New Roman" w:eastAsia="Times New Roman" w:hAnsi="Times New Roman" w:cs="Times New Roman"/>
          <w:b/>
          <w:color w:val="FF0000"/>
          <w:sz w:val="16"/>
          <w:szCs w:val="24"/>
          <w:lang w:eastAsia="uk-UA"/>
        </w:rPr>
      </w:pPr>
    </w:p>
    <w:p w:rsidR="0016245F" w:rsidRDefault="0077312B" w:rsidP="00E74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bookmarkStart w:id="7" w:name="n130"/>
      <w:bookmarkEnd w:id="7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Реалізація наказу не передбачає додаткових фінансових витрат.</w:t>
      </w:r>
    </w:p>
    <w:p w:rsidR="00A8711A" w:rsidRPr="002B5091" w:rsidRDefault="00A8711A" w:rsidP="00E74DD1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B5091">
        <w:rPr>
          <w:rFonts w:ascii="Times New Roman" w:hAnsi="Times New Roman"/>
          <w:sz w:val="28"/>
          <w:szCs w:val="28"/>
          <w:lang w:val="uk-UA"/>
        </w:rPr>
        <w:t xml:space="preserve">Оцінка можливості впровадження </w:t>
      </w:r>
      <w:proofErr w:type="spellStart"/>
      <w:r w:rsidRPr="002B5091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2B5091">
        <w:rPr>
          <w:rFonts w:ascii="Times New Roman" w:hAnsi="Times New Roman"/>
          <w:sz w:val="28"/>
          <w:szCs w:val="28"/>
          <w:lang w:val="uk-UA"/>
        </w:rPr>
        <w:t xml:space="preserve"> та виконання вимог </w:t>
      </w:r>
      <w:proofErr w:type="spellStart"/>
      <w:r w:rsidRPr="002B5091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2B5091">
        <w:rPr>
          <w:rFonts w:ascii="Times New Roman" w:hAnsi="Times New Roman"/>
          <w:sz w:val="28"/>
          <w:szCs w:val="28"/>
          <w:lang w:val="uk-UA"/>
        </w:rPr>
        <w:t xml:space="preserve"> суб’єктами господарювання висока.</w:t>
      </w:r>
    </w:p>
    <w:p w:rsidR="006B798C" w:rsidRPr="006B798C" w:rsidRDefault="006B798C" w:rsidP="00E74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B79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Здійснено розрахунок витрат на виконання вимог регуляторного </w:t>
      </w:r>
      <w:proofErr w:type="spellStart"/>
      <w:r w:rsidRPr="006B79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акта</w:t>
      </w:r>
      <w:proofErr w:type="spellEnd"/>
      <w:r w:rsidRPr="006B79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для органів виконавчої влади згідно з додатком 3 до Методики проведення аналізу впливу регуляторного </w:t>
      </w:r>
      <w:proofErr w:type="spellStart"/>
      <w:r w:rsidRPr="006B79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акта</w:t>
      </w:r>
      <w:proofErr w:type="spellEnd"/>
      <w:r w:rsidRPr="006B79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</w:t>
      </w:r>
    </w:p>
    <w:p w:rsidR="006B798C" w:rsidRPr="006B798C" w:rsidRDefault="006B798C" w:rsidP="00E74D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БЮДЖЕТНІ ВИТРАТИ </w:t>
      </w:r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на </w:t>
      </w:r>
      <w:proofErr w:type="spellStart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адміністрування</w:t>
      </w:r>
      <w:proofErr w:type="spellEnd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регулювання</w:t>
      </w:r>
      <w:proofErr w:type="spellEnd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для </w:t>
      </w:r>
      <w:proofErr w:type="spellStart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суб’єктів</w:t>
      </w:r>
      <w:proofErr w:type="spellEnd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великого і </w:t>
      </w:r>
      <w:proofErr w:type="spellStart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середнього</w:t>
      </w:r>
      <w:proofErr w:type="spellEnd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підприємництва</w:t>
      </w:r>
      <w:proofErr w:type="spellEnd"/>
    </w:p>
    <w:p w:rsidR="006B798C" w:rsidRPr="006B798C" w:rsidRDefault="006B798C" w:rsidP="00E74D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n191"/>
      <w:bookmarkEnd w:id="8"/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Розрахунок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адміністрування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окремо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кожного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залучений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798C" w:rsidRDefault="006B798C" w:rsidP="00091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bookmarkStart w:id="9" w:name="n192"/>
      <w:bookmarkEnd w:id="9"/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орган, для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розрахунок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адміністрування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Державна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екологічна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інспекція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України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та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її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територіальні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та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міжрегіональні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територіальні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органи</w:t>
      </w:r>
      <w:proofErr w:type="spellEnd"/>
      <w:r w:rsidRPr="006B798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09153B" w:rsidRPr="000D76E3" w:rsidRDefault="0009153B" w:rsidP="0009153B">
      <w:pPr>
        <w:tabs>
          <w:tab w:val="left" w:pos="12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кількість суб’єктів господарювання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великого та </w:t>
      </w: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середнього підприємництва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976</w:t>
      </w: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умовно прийнято кількість претензій пред’явлених на відшкодування збитків, заподіяних внаслідок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наднормативних викидів в атмосферне повітря </w:t>
      </w: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даними державного нагляду (контролю) за додержанням вимог природоохоронного законодавства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0D76E3">
        <w:rPr>
          <w:rFonts w:ascii="Times New Roman" w:eastAsia="Times New Roman" w:hAnsi="Times New Roman" w:cs="Times New Roman"/>
          <w:sz w:val="28"/>
          <w:szCs w:val="28"/>
          <w:lang w:eastAsia="ar-SA"/>
        </w:rPr>
        <w:t>2018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ік:</w:t>
      </w:r>
    </w:p>
    <w:p w:rsidR="0009153B" w:rsidRPr="000D76E3" w:rsidRDefault="0009153B" w:rsidP="00091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D76E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у 2018 року: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976</w:t>
      </w:r>
      <w:r w:rsidRPr="000D76E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r w:rsidRPr="000D76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претензій на загальну суму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194745,349</w:t>
      </w:r>
      <w:r w:rsidRPr="000D76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тис. грн.</w:t>
      </w:r>
    </w:p>
    <w:tbl>
      <w:tblPr>
        <w:tblW w:w="507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427"/>
        <w:gridCol w:w="1477"/>
        <w:gridCol w:w="1319"/>
        <w:gridCol w:w="2070"/>
        <w:gridCol w:w="1548"/>
      </w:tblGrid>
      <w:tr w:rsidR="006B798C" w:rsidRPr="006B798C" w:rsidTr="00346645">
        <w:tc>
          <w:tcPr>
            <w:tcW w:w="9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6B798C" w:rsidRPr="006B798C" w:rsidRDefault="006B798C" w:rsidP="00091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" w:name="n193"/>
            <w:bookmarkStart w:id="11" w:name="n194"/>
            <w:bookmarkEnd w:id="10"/>
            <w:bookmarkEnd w:id="11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Процедура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регулювання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суб’єктів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великого і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середнього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підприємництва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розрахунок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одного типового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господарювання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98C" w:rsidRPr="006B798C" w:rsidRDefault="006B798C" w:rsidP="00091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Планові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часу на процедуру</w:t>
            </w:r>
            <w:r w:rsidR="002637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751" w:rsidRDefault="006B798C" w:rsidP="0009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часу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співробітника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відповідної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заробітна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плата)</w:t>
            </w:r>
            <w:r w:rsidR="001677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B798C" w:rsidRPr="006B798C" w:rsidRDefault="00167751" w:rsidP="0026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1 день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98C" w:rsidRPr="006B798C" w:rsidRDefault="006B798C" w:rsidP="00091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процедур за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припадають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одного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</w:t>
            </w:r>
            <w:proofErr w:type="spellEnd"/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98C" w:rsidRPr="006B798C" w:rsidRDefault="006B798C" w:rsidP="00091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суб’єктів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підпадають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дію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6B798C" w:rsidRPr="006B798C" w:rsidRDefault="006B798C" w:rsidP="00091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регулювання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* (за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гривень</w:t>
            </w:r>
            <w:proofErr w:type="spellEnd"/>
          </w:p>
        </w:tc>
      </w:tr>
      <w:tr w:rsidR="006B798C" w:rsidRPr="006B798C" w:rsidTr="00346645">
        <w:tc>
          <w:tcPr>
            <w:tcW w:w="933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6B798C" w:rsidRPr="006B798C" w:rsidRDefault="006B798C" w:rsidP="00E74DD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6B798C" w:rsidRPr="006B798C" w:rsidRDefault="006B798C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6B798C" w:rsidRPr="006B798C" w:rsidRDefault="006B798C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6B798C" w:rsidRPr="006B798C" w:rsidRDefault="006B798C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4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6B798C" w:rsidRPr="006B798C" w:rsidRDefault="006B798C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3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6B798C" w:rsidRPr="006B798C" w:rsidRDefault="006B798C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798C" w:rsidRPr="006B798C" w:rsidTr="00346645"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798C" w:rsidRPr="006B798C" w:rsidRDefault="006B798C" w:rsidP="0034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Поточний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контроль за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суб’єктом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господарювання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4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перебуває</w:t>
            </w:r>
            <w:proofErr w:type="spellEnd"/>
            <w:r w:rsidR="00A4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="00A4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="00A4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4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798C" w:rsidRPr="006B798C" w:rsidRDefault="0026375C" w:rsidP="0026375C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1677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677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798C" w:rsidRPr="006B798C" w:rsidRDefault="00167751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549 грн.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798C" w:rsidRPr="006B798C" w:rsidRDefault="00167751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798C" w:rsidRPr="006B798C" w:rsidRDefault="00167751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  <w:r w:rsidR="00A4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798C" w:rsidRPr="006B798C" w:rsidRDefault="00A373B6" w:rsidP="00A373B6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1607472 </w:t>
            </w:r>
            <w:r w:rsidR="00A4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грн.</w:t>
            </w:r>
          </w:p>
        </w:tc>
      </w:tr>
      <w:tr w:rsidR="00A45A49" w:rsidRPr="006B798C" w:rsidTr="00346645"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A49" w:rsidRPr="006B798C" w:rsidRDefault="00A45A49" w:rsidP="0034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Разом за </w:t>
            </w:r>
            <w:proofErr w:type="spellStart"/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A49" w:rsidRPr="006B798C" w:rsidRDefault="00A45A49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A49" w:rsidRPr="006B798C" w:rsidRDefault="00A45A49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A49" w:rsidRPr="006B798C" w:rsidRDefault="00A45A49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A49" w:rsidRPr="006B798C" w:rsidRDefault="00A45A49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:rsidR="00A45A49" w:rsidRPr="006B798C" w:rsidRDefault="00A45A49" w:rsidP="00E74DD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B798C" w:rsidRPr="008D6DBC" w:rsidRDefault="006B798C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95"/>
      <w:bookmarkEnd w:id="12"/>
      <w:r w:rsidRPr="008D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8D6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Вартість витрат, пов’язаних з адмініструванням процесу регулювання державними органами, визначається шляхом множення фактичних витрат часу персоналу на заробітну плату спеціаліста відповідної кваліфікації та на кількість суб’єктів, що підпадають під дію процедури регулювання, </w:t>
      </w:r>
      <w:r w:rsidR="007F5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 кількість процедур за рік, що не потребує додаткового фінансування з державного бюджету.</w:t>
      </w:r>
    </w:p>
    <w:p w:rsidR="00626D5E" w:rsidRPr="006B798C" w:rsidRDefault="007C038B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атмосферного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повітря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рівнятися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</w:t>
      </w:r>
    </w:p>
    <w:p w:rsidR="0016245F" w:rsidRPr="006B798C" w:rsidRDefault="0016245F" w:rsidP="00E74DD1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uk-UA"/>
        </w:rPr>
      </w:pPr>
    </w:p>
    <w:p w:rsidR="0016245F" w:rsidRPr="0016245F" w:rsidRDefault="0016245F" w:rsidP="00E74DD1">
      <w:pPr>
        <w:tabs>
          <w:tab w:val="num" w:pos="0"/>
        </w:tabs>
        <w:spacing w:after="0" w:line="48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Pr="0016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</w:t>
      </w:r>
      <w:r w:rsidR="007F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16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Обґрунтування запропонованого строку дії регуляторного акту</w:t>
      </w:r>
    </w:p>
    <w:p w:rsidR="0016245F" w:rsidRP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Строк дії запропонованого регуляторного </w:t>
      </w:r>
      <w:proofErr w:type="spellStart"/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акта</w:t>
      </w:r>
      <w:proofErr w:type="spellEnd"/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встановлюється на необмежений термін. </w:t>
      </w:r>
    </w:p>
    <w:p w:rsidR="0016245F" w:rsidRP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Зміна терміну дії </w:t>
      </w:r>
      <w:proofErr w:type="spellStart"/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акта</w:t>
      </w:r>
      <w:proofErr w:type="spellEnd"/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можлива в разі зміни правових актів</w:t>
      </w:r>
      <w:r w:rsidR="004737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на вимогах яких базується </w:t>
      </w:r>
      <w:proofErr w:type="spellStart"/>
      <w:r w:rsidR="004737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проє</w:t>
      </w:r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кт</w:t>
      </w:r>
      <w:proofErr w:type="spellEnd"/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</w:p>
    <w:p w:rsidR="0016245F" w:rsidRP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Термін набрання чинності регуляторним актом – відповідно до законодавства: з дня його опублікування. </w:t>
      </w:r>
    </w:p>
    <w:p w:rsidR="0016245F" w:rsidRDefault="0016245F" w:rsidP="00E74DD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6245F" w:rsidRPr="0016245F" w:rsidRDefault="007A72EB" w:rsidP="00E74DD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536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16245F" w:rsidRPr="0016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="0016245F" w:rsidRPr="0016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ІІІ</w:t>
      </w:r>
      <w:r w:rsidR="007F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16245F" w:rsidRPr="0016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Визначення</w:t>
      </w:r>
      <w:r w:rsidR="0016245F" w:rsidRPr="001624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показників результативності дії регуляторного </w:t>
      </w:r>
      <w:proofErr w:type="spellStart"/>
      <w:r w:rsidR="0016245F" w:rsidRPr="001624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акта</w:t>
      </w:r>
      <w:proofErr w:type="spellEnd"/>
    </w:p>
    <w:p w:rsidR="0016245F" w:rsidRPr="0016245F" w:rsidRDefault="0016245F" w:rsidP="00E74D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uk-UA"/>
        </w:rPr>
      </w:pPr>
    </w:p>
    <w:p w:rsidR="0016245F" w:rsidRPr="0016245F" w:rsidRDefault="0016245F" w:rsidP="00E74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16245F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Виходячи з цілей запропонованого регуляторного </w:t>
      </w:r>
      <w:proofErr w:type="spellStart"/>
      <w:r w:rsidRPr="0016245F">
        <w:rPr>
          <w:rFonts w:ascii="Times New Roman" w:eastAsia="Calibri" w:hAnsi="Times New Roman" w:cs="Courier New"/>
          <w:color w:val="000000"/>
          <w:sz w:val="28"/>
          <w:szCs w:val="28"/>
        </w:rPr>
        <w:t>акта</w:t>
      </w:r>
      <w:proofErr w:type="spellEnd"/>
      <w:r w:rsidRPr="0016245F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, для відстеження результативності цього регуляторного </w:t>
      </w:r>
      <w:proofErr w:type="spellStart"/>
      <w:r w:rsidRPr="0016245F">
        <w:rPr>
          <w:rFonts w:ascii="Times New Roman" w:eastAsia="Calibri" w:hAnsi="Times New Roman" w:cs="Courier New"/>
          <w:color w:val="000000"/>
          <w:sz w:val="28"/>
          <w:szCs w:val="28"/>
        </w:rPr>
        <w:t>акта</w:t>
      </w:r>
      <w:proofErr w:type="spellEnd"/>
      <w:r w:rsidRPr="0016245F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 обрано такі показники:</w:t>
      </w:r>
    </w:p>
    <w:p w:rsidR="0016245F" w:rsidRPr="0016245F" w:rsidRDefault="0016245F" w:rsidP="00E74D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 w:rsidRPr="0016245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розмір надходження до державних та місцевих бюджетів – залежить від кількості та ступені важкості порушень вимог законодавства</w:t>
      </w:r>
      <w:r w:rsidR="001001B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про охорону атмосферного повітря</w:t>
      </w:r>
      <w:r w:rsidRPr="0016245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, виявлених під час заходів державного нагляду (контролю);</w:t>
      </w:r>
    </w:p>
    <w:p w:rsidR="0016245F" w:rsidRPr="0016245F" w:rsidRDefault="0016245F" w:rsidP="00E74DD1">
      <w:pPr>
        <w:keepNext/>
        <w:tabs>
          <w:tab w:val="num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 суб’єктів господарюванн</w:t>
      </w:r>
      <w:r w:rsidR="0010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на яких поширюється дія акту</w:t>
      </w:r>
      <w:r w:rsidRPr="0016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D394C" w:rsidRPr="008F6DC4" w:rsidRDefault="007D394C" w:rsidP="007D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6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 коштів і часу, що витрачатимуться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суб’єктами господарювання</w:t>
      </w:r>
      <w:r w:rsidRPr="008F6DC4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пов’язаними з дією акту;</w:t>
      </w:r>
    </w:p>
    <w:p w:rsidR="007D394C" w:rsidRDefault="007D394C" w:rsidP="007D394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6245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рівень поінформованості суб’єктів господарювання та громадян з основних положень акту - високий рівень. З цією метою регуляторний акт оприлюднено на офіційних веб-сайтах </w:t>
      </w:r>
      <w:proofErr w:type="spellStart"/>
      <w:r w:rsidRPr="0016245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Мін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екоенерго</w:t>
      </w:r>
      <w:proofErr w:type="spellEnd"/>
      <w:r w:rsidRPr="0016245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та </w:t>
      </w:r>
      <w:proofErr w:type="spellStart"/>
      <w:r w:rsidRPr="0016245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Держекоінспекції</w:t>
      </w:r>
      <w:proofErr w:type="spellEnd"/>
      <w:r w:rsidRPr="0016245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 </w:t>
      </w:r>
    </w:p>
    <w:p w:rsidR="007D394C" w:rsidRDefault="007D394C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Додаткові показники для відстеження результативності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45F" w:rsidRP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претензій</w:t>
      </w:r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пред’явлених на відшкодування збитків, заподіяних </w:t>
      </w:r>
      <w:r w:rsidR="001001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державі в результаті наднормативних викидів забруднюючих речовин </w:t>
      </w:r>
      <w:r w:rsidR="008E01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атмосферне повітря</w:t>
      </w:r>
      <w:r w:rsidRPr="001624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16245F" w:rsidRPr="0016245F" w:rsidRDefault="0016245F" w:rsidP="00E74DD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6245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сума пред’явлених збитків;</w:t>
      </w:r>
    </w:p>
    <w:p w:rsidR="0016245F" w:rsidRDefault="007D394C" w:rsidP="00E74DD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сума відшкодованих збитків.</w:t>
      </w:r>
    </w:p>
    <w:p w:rsidR="0016245F" w:rsidRPr="0016245F" w:rsidRDefault="0016245F" w:rsidP="00E74DD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3" w:name="_GoBack"/>
      <w:bookmarkEnd w:id="13"/>
      <w:r w:rsidRPr="0016245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ІХ</w:t>
      </w:r>
      <w:r w:rsidR="007F587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.</w:t>
      </w:r>
      <w:r w:rsidRPr="0016245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Визначення заходів, за допомогою яких буде здійснюватися відстеження результативності регуляторного </w:t>
      </w:r>
      <w:proofErr w:type="spellStart"/>
      <w:r w:rsidRPr="0016245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акта</w:t>
      </w:r>
      <w:proofErr w:type="spellEnd"/>
    </w:p>
    <w:p w:rsidR="0016245F" w:rsidRP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x-none"/>
        </w:rPr>
      </w:pPr>
    </w:p>
    <w:p w:rsidR="0016245F" w:rsidRPr="0016245F" w:rsidRDefault="0016245F" w:rsidP="00E74D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Базове відстеження результативності вищезазначеного регуляторного </w:t>
      </w:r>
      <w:proofErr w:type="spellStart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здійснюватися через 1 рік після набрання чинності цим актом.</w:t>
      </w:r>
    </w:p>
    <w:p w:rsidR="0016245F" w:rsidRPr="0016245F" w:rsidRDefault="0016245F" w:rsidP="00E74D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Повторне відстеження планується здійснити через 2 роки після набрання чинності регуляторного акту, в результаті якого відбудеться порівняння показників базового та повторного відстеження. У разі виявлення неврегульованих та проблемних питань шляхом аналізу якісних показників дії цього </w:t>
      </w:r>
      <w:proofErr w:type="spellStart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, ці питання будуть врегульовані шляхом внесення відповідних змін.</w:t>
      </w:r>
    </w:p>
    <w:p w:rsidR="0016245F" w:rsidRPr="0016245F" w:rsidRDefault="0016245F" w:rsidP="00E74D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Періодичне відстеження здійснюється раз на три роки, починаючи з дня виконання заходів з повторного відстеження</w:t>
      </w:r>
      <w:r w:rsidR="003B4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Установлені кількісні та якісні значення показників результативності </w:t>
      </w:r>
      <w:proofErr w:type="spellStart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порівнюються зі значеннями аналогічних показників, що встановлені під час повторного відстеження.</w:t>
      </w:r>
    </w:p>
    <w:p w:rsidR="0016245F" w:rsidRDefault="0016245F" w:rsidP="00E74D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Відстеження результативності вищезазначеного регуляторного </w:t>
      </w:r>
      <w:proofErr w:type="spellStart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проводитиметься шляхом аналізу звітності про результати державного нагляду (контролю) у сфері охорони навколишнього природного середовища.</w:t>
      </w:r>
    </w:p>
    <w:p w:rsidR="000D158F" w:rsidRPr="000D158F" w:rsidRDefault="000D158F" w:rsidP="00E74D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Виконавець – Державна екологічна інспекція України.</w:t>
      </w:r>
    </w:p>
    <w:p w:rsidR="0016245F" w:rsidRPr="0016245F" w:rsidRDefault="0016245F" w:rsidP="00E74DD1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245F" w:rsidRPr="0016245F" w:rsidRDefault="0016245F" w:rsidP="00E7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245F" w:rsidRPr="0016245F" w:rsidRDefault="00F162E0" w:rsidP="00E74DD1">
      <w:pPr>
        <w:widowControl w:val="0"/>
        <w:tabs>
          <w:tab w:val="num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Т.в</w:t>
      </w:r>
      <w:r w:rsidR="0016245F"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.о</w:t>
      </w:r>
      <w:proofErr w:type="spellEnd"/>
      <w:r w:rsidR="0016245F"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Голови Державної </w:t>
      </w:r>
    </w:p>
    <w:p w:rsidR="0016245F" w:rsidRPr="0016245F" w:rsidRDefault="0016245F" w:rsidP="00E74DD1">
      <w:pPr>
        <w:widowControl w:val="0"/>
        <w:tabs>
          <w:tab w:val="num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екологічної інспекції України                   </w:t>
      </w:r>
      <w:r w:rsidR="001001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="00F162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  <w:r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</w:t>
      </w:r>
      <w:r w:rsidR="00F162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Єгор ФІРСОВ</w:t>
      </w:r>
    </w:p>
    <w:p w:rsidR="0016245F" w:rsidRPr="0016245F" w:rsidRDefault="0016245F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5428" w:rsidRPr="00626D5E" w:rsidRDefault="0016245F" w:rsidP="00E74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>«____»__________20</w:t>
      </w:r>
      <w:r w:rsidR="007F5870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162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Pr="00162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sectPr w:rsidR="009F5428" w:rsidRPr="00626D5E" w:rsidSect="00DA446B">
      <w:footerReference w:type="default" r:id="rId11"/>
      <w:pgSz w:w="11906" w:h="16838"/>
      <w:pgMar w:top="1134" w:right="707" w:bottom="1134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5F" w:rsidRDefault="0016245F" w:rsidP="0016245F">
      <w:pPr>
        <w:spacing w:after="0" w:line="240" w:lineRule="auto"/>
      </w:pPr>
      <w:r>
        <w:separator/>
      </w:r>
    </w:p>
  </w:endnote>
  <w:endnote w:type="continuationSeparator" w:id="0">
    <w:p w:rsidR="0016245F" w:rsidRDefault="0016245F" w:rsidP="0016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27" w:rsidRDefault="00A623F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6D0C">
      <w:rPr>
        <w:noProof/>
      </w:rPr>
      <w:t>14</w:t>
    </w:r>
    <w:r>
      <w:fldChar w:fldCharType="end"/>
    </w:r>
  </w:p>
  <w:p w:rsidR="00BA5027" w:rsidRDefault="00FA6D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5F" w:rsidRDefault="0016245F" w:rsidP="0016245F">
      <w:pPr>
        <w:spacing w:after="0" w:line="240" w:lineRule="auto"/>
      </w:pPr>
      <w:r>
        <w:separator/>
      </w:r>
    </w:p>
  </w:footnote>
  <w:footnote w:type="continuationSeparator" w:id="0">
    <w:p w:rsidR="0016245F" w:rsidRDefault="0016245F" w:rsidP="0016245F">
      <w:pPr>
        <w:spacing w:after="0" w:line="240" w:lineRule="auto"/>
      </w:pPr>
      <w:r>
        <w:continuationSeparator/>
      </w:r>
    </w:p>
  </w:footnote>
  <w:footnote w:id="1">
    <w:p w:rsidR="00394221" w:rsidRPr="000E5C87" w:rsidRDefault="00394221" w:rsidP="000E5C8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E2A"/>
    <w:multiLevelType w:val="hybridMultilevel"/>
    <w:tmpl w:val="94C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423D"/>
    <w:multiLevelType w:val="hybridMultilevel"/>
    <w:tmpl w:val="6A2468B6"/>
    <w:lvl w:ilvl="0" w:tplc="141497E4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86174"/>
    <w:multiLevelType w:val="hybridMultilevel"/>
    <w:tmpl w:val="4988556E"/>
    <w:lvl w:ilvl="0" w:tplc="4F5036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AB6800"/>
    <w:multiLevelType w:val="hybridMultilevel"/>
    <w:tmpl w:val="243C86FA"/>
    <w:lvl w:ilvl="0" w:tplc="6C86E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A206339"/>
    <w:multiLevelType w:val="hybridMultilevel"/>
    <w:tmpl w:val="149C0866"/>
    <w:lvl w:ilvl="0" w:tplc="08C4B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5F"/>
    <w:rsid w:val="00010879"/>
    <w:rsid w:val="00022552"/>
    <w:rsid w:val="00027B52"/>
    <w:rsid w:val="00036262"/>
    <w:rsid w:val="000414E6"/>
    <w:rsid w:val="00041BEB"/>
    <w:rsid w:val="00041C43"/>
    <w:rsid w:val="00055232"/>
    <w:rsid w:val="00090FE2"/>
    <w:rsid w:val="0009153B"/>
    <w:rsid w:val="000A2EB1"/>
    <w:rsid w:val="000B0BCB"/>
    <w:rsid w:val="000C1E95"/>
    <w:rsid w:val="000C2282"/>
    <w:rsid w:val="000D158F"/>
    <w:rsid w:val="000D28B5"/>
    <w:rsid w:val="000D38E5"/>
    <w:rsid w:val="000D76E3"/>
    <w:rsid w:val="000E1D1C"/>
    <w:rsid w:val="000E5C87"/>
    <w:rsid w:val="000F074F"/>
    <w:rsid w:val="000F2094"/>
    <w:rsid w:val="001001B0"/>
    <w:rsid w:val="001404FA"/>
    <w:rsid w:val="00142117"/>
    <w:rsid w:val="0016245F"/>
    <w:rsid w:val="00167751"/>
    <w:rsid w:val="001909CE"/>
    <w:rsid w:val="00193BEA"/>
    <w:rsid w:val="001A6D3B"/>
    <w:rsid w:val="001C700F"/>
    <w:rsid w:val="001D1422"/>
    <w:rsid w:val="001D70CF"/>
    <w:rsid w:val="001E612E"/>
    <w:rsid w:val="002301EF"/>
    <w:rsid w:val="00231F1F"/>
    <w:rsid w:val="0023398F"/>
    <w:rsid w:val="00233E29"/>
    <w:rsid w:val="002464D9"/>
    <w:rsid w:val="0026375C"/>
    <w:rsid w:val="002708C8"/>
    <w:rsid w:val="00271C37"/>
    <w:rsid w:val="0028139F"/>
    <w:rsid w:val="002A5C20"/>
    <w:rsid w:val="002C1987"/>
    <w:rsid w:val="002F1A64"/>
    <w:rsid w:val="00302673"/>
    <w:rsid w:val="00340476"/>
    <w:rsid w:val="00346645"/>
    <w:rsid w:val="00352C6D"/>
    <w:rsid w:val="003609C6"/>
    <w:rsid w:val="003632E4"/>
    <w:rsid w:val="00363F3F"/>
    <w:rsid w:val="00380CC2"/>
    <w:rsid w:val="00394221"/>
    <w:rsid w:val="003942AF"/>
    <w:rsid w:val="003B4CCA"/>
    <w:rsid w:val="003E5B92"/>
    <w:rsid w:val="003E7507"/>
    <w:rsid w:val="003E7F8B"/>
    <w:rsid w:val="00412D5D"/>
    <w:rsid w:val="00427AFE"/>
    <w:rsid w:val="00437ACB"/>
    <w:rsid w:val="00450B05"/>
    <w:rsid w:val="0046120A"/>
    <w:rsid w:val="0046793B"/>
    <w:rsid w:val="004734E2"/>
    <w:rsid w:val="00473725"/>
    <w:rsid w:val="0047621D"/>
    <w:rsid w:val="00486D7D"/>
    <w:rsid w:val="004871BA"/>
    <w:rsid w:val="00487D36"/>
    <w:rsid w:val="004A20D6"/>
    <w:rsid w:val="004B086E"/>
    <w:rsid w:val="00500054"/>
    <w:rsid w:val="005228B5"/>
    <w:rsid w:val="00531DB0"/>
    <w:rsid w:val="005368F9"/>
    <w:rsid w:val="005441E9"/>
    <w:rsid w:val="0056761F"/>
    <w:rsid w:val="00571609"/>
    <w:rsid w:val="00575D8C"/>
    <w:rsid w:val="0059231D"/>
    <w:rsid w:val="005969C3"/>
    <w:rsid w:val="0059732F"/>
    <w:rsid w:val="0059737B"/>
    <w:rsid w:val="005B747F"/>
    <w:rsid w:val="005C0C0F"/>
    <w:rsid w:val="005C65F7"/>
    <w:rsid w:val="006027A5"/>
    <w:rsid w:val="0062572E"/>
    <w:rsid w:val="00625FE2"/>
    <w:rsid w:val="00626D5E"/>
    <w:rsid w:val="006278BE"/>
    <w:rsid w:val="00665595"/>
    <w:rsid w:val="00681590"/>
    <w:rsid w:val="006B03E1"/>
    <w:rsid w:val="006B62AA"/>
    <w:rsid w:val="006B798C"/>
    <w:rsid w:val="0070010C"/>
    <w:rsid w:val="0070080F"/>
    <w:rsid w:val="007054EB"/>
    <w:rsid w:val="00712345"/>
    <w:rsid w:val="007139F0"/>
    <w:rsid w:val="00713B3E"/>
    <w:rsid w:val="0071477D"/>
    <w:rsid w:val="00714BBF"/>
    <w:rsid w:val="00757D43"/>
    <w:rsid w:val="007621CF"/>
    <w:rsid w:val="0077312B"/>
    <w:rsid w:val="00773E11"/>
    <w:rsid w:val="00783500"/>
    <w:rsid w:val="007A6656"/>
    <w:rsid w:val="007A72EB"/>
    <w:rsid w:val="007B1155"/>
    <w:rsid w:val="007C038B"/>
    <w:rsid w:val="007C5F90"/>
    <w:rsid w:val="007D394C"/>
    <w:rsid w:val="007F5870"/>
    <w:rsid w:val="008029EF"/>
    <w:rsid w:val="00805B8D"/>
    <w:rsid w:val="008270A7"/>
    <w:rsid w:val="00846283"/>
    <w:rsid w:val="00860109"/>
    <w:rsid w:val="0086042E"/>
    <w:rsid w:val="00864900"/>
    <w:rsid w:val="00867807"/>
    <w:rsid w:val="008A7334"/>
    <w:rsid w:val="008C3806"/>
    <w:rsid w:val="008D33ED"/>
    <w:rsid w:val="008D4712"/>
    <w:rsid w:val="008D6DBC"/>
    <w:rsid w:val="008E01AF"/>
    <w:rsid w:val="008E2D2C"/>
    <w:rsid w:val="008F6DC4"/>
    <w:rsid w:val="00944137"/>
    <w:rsid w:val="009531EE"/>
    <w:rsid w:val="009A75ED"/>
    <w:rsid w:val="009B2035"/>
    <w:rsid w:val="009E19B1"/>
    <w:rsid w:val="00A0213C"/>
    <w:rsid w:val="00A300FD"/>
    <w:rsid w:val="00A373B6"/>
    <w:rsid w:val="00A444AC"/>
    <w:rsid w:val="00A45A49"/>
    <w:rsid w:val="00A623F4"/>
    <w:rsid w:val="00A66353"/>
    <w:rsid w:val="00A75A30"/>
    <w:rsid w:val="00A8338D"/>
    <w:rsid w:val="00A8711A"/>
    <w:rsid w:val="00A90304"/>
    <w:rsid w:val="00A97DC1"/>
    <w:rsid w:val="00AA1C4A"/>
    <w:rsid w:val="00AA5E8A"/>
    <w:rsid w:val="00AB6B89"/>
    <w:rsid w:val="00AC2767"/>
    <w:rsid w:val="00AD0BB1"/>
    <w:rsid w:val="00AF1920"/>
    <w:rsid w:val="00B02AAD"/>
    <w:rsid w:val="00B14558"/>
    <w:rsid w:val="00B2646E"/>
    <w:rsid w:val="00B347B5"/>
    <w:rsid w:val="00B42AF3"/>
    <w:rsid w:val="00B53712"/>
    <w:rsid w:val="00B643DF"/>
    <w:rsid w:val="00B81D5E"/>
    <w:rsid w:val="00B83271"/>
    <w:rsid w:val="00B8548E"/>
    <w:rsid w:val="00B8764B"/>
    <w:rsid w:val="00B92CD8"/>
    <w:rsid w:val="00BC1948"/>
    <w:rsid w:val="00BF0BD7"/>
    <w:rsid w:val="00BF0EEF"/>
    <w:rsid w:val="00C130B5"/>
    <w:rsid w:val="00C23A60"/>
    <w:rsid w:val="00C271C6"/>
    <w:rsid w:val="00C27ED9"/>
    <w:rsid w:val="00C37D47"/>
    <w:rsid w:val="00C702CA"/>
    <w:rsid w:val="00C91024"/>
    <w:rsid w:val="00CB78A8"/>
    <w:rsid w:val="00CC1906"/>
    <w:rsid w:val="00CD1C46"/>
    <w:rsid w:val="00CF4067"/>
    <w:rsid w:val="00D03229"/>
    <w:rsid w:val="00D200FA"/>
    <w:rsid w:val="00D2522F"/>
    <w:rsid w:val="00D25261"/>
    <w:rsid w:val="00D36385"/>
    <w:rsid w:val="00D57372"/>
    <w:rsid w:val="00D77332"/>
    <w:rsid w:val="00D94F56"/>
    <w:rsid w:val="00DA179A"/>
    <w:rsid w:val="00DD60ED"/>
    <w:rsid w:val="00DE0CD8"/>
    <w:rsid w:val="00DE3181"/>
    <w:rsid w:val="00E110EF"/>
    <w:rsid w:val="00E1617B"/>
    <w:rsid w:val="00E17225"/>
    <w:rsid w:val="00E22E8B"/>
    <w:rsid w:val="00E2678F"/>
    <w:rsid w:val="00E35AA4"/>
    <w:rsid w:val="00E40AC0"/>
    <w:rsid w:val="00E44945"/>
    <w:rsid w:val="00E46899"/>
    <w:rsid w:val="00E64A11"/>
    <w:rsid w:val="00E65FDB"/>
    <w:rsid w:val="00E67E55"/>
    <w:rsid w:val="00E74DD1"/>
    <w:rsid w:val="00E80655"/>
    <w:rsid w:val="00E87DA2"/>
    <w:rsid w:val="00EA585E"/>
    <w:rsid w:val="00EB6CCB"/>
    <w:rsid w:val="00EC4805"/>
    <w:rsid w:val="00ED0232"/>
    <w:rsid w:val="00ED1C8A"/>
    <w:rsid w:val="00F03C91"/>
    <w:rsid w:val="00F04198"/>
    <w:rsid w:val="00F162E0"/>
    <w:rsid w:val="00F20C3E"/>
    <w:rsid w:val="00F22EBE"/>
    <w:rsid w:val="00FA6D0C"/>
    <w:rsid w:val="00FB12D2"/>
    <w:rsid w:val="00FC1F13"/>
    <w:rsid w:val="00F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13F8"/>
  <w15:chartTrackingRefBased/>
  <w15:docId w15:val="{22259C41-9416-4ADF-865C-B8ECCD84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245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16245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note text"/>
    <w:basedOn w:val="a"/>
    <w:link w:val="a6"/>
    <w:uiPriority w:val="99"/>
    <w:rsid w:val="0016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62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2301EF"/>
    <w:pPr>
      <w:suppressAutoHyphens/>
      <w:spacing w:after="0" w:line="100" w:lineRule="atLeast"/>
    </w:pPr>
    <w:rPr>
      <w:rFonts w:ascii="Calibri" w:eastAsia="SimSun" w:hAnsi="Calibri" w:cs="Calibri"/>
      <w:lang w:eastAsia="uk-UA"/>
    </w:rPr>
  </w:style>
  <w:style w:type="paragraph" w:customStyle="1" w:styleId="Textbody">
    <w:name w:val="Text body"/>
    <w:basedOn w:val="a"/>
    <w:uiPriority w:val="99"/>
    <w:rsid w:val="00D77332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TableContents">
    <w:name w:val="Table Contents"/>
    <w:basedOn w:val="a"/>
    <w:uiPriority w:val="99"/>
    <w:rsid w:val="00D77332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2">
    <w:name w:val="Body Text 2"/>
    <w:basedOn w:val="a"/>
    <w:link w:val="20"/>
    <w:uiPriority w:val="99"/>
    <w:unhideWhenUsed/>
    <w:rsid w:val="00B42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2AF3"/>
  </w:style>
  <w:style w:type="paragraph" w:styleId="a8">
    <w:name w:val="List Paragraph"/>
    <w:basedOn w:val="a"/>
    <w:uiPriority w:val="34"/>
    <w:qFormat/>
    <w:rsid w:val="00AB6B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9E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D2522F"/>
    <w:rPr>
      <w:color w:val="0000FF"/>
      <w:u w:val="single"/>
    </w:rPr>
  </w:style>
  <w:style w:type="paragraph" w:customStyle="1" w:styleId="ac">
    <w:name w:val="Абзац списку"/>
    <w:basedOn w:val="a"/>
    <w:qFormat/>
    <w:rsid w:val="00A8711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d">
    <w:name w:val="Body Text"/>
    <w:basedOn w:val="a"/>
    <w:link w:val="ae"/>
    <w:uiPriority w:val="99"/>
    <w:semiHidden/>
    <w:unhideWhenUsed/>
    <w:rsid w:val="003942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94221"/>
  </w:style>
  <w:style w:type="paragraph" w:styleId="af">
    <w:name w:val="Normal (Web)"/>
    <w:basedOn w:val="a"/>
    <w:uiPriority w:val="99"/>
    <w:semiHidden/>
    <w:unhideWhenUsed/>
    <w:rsid w:val="00CF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Strong"/>
    <w:basedOn w:val="a0"/>
    <w:uiPriority w:val="22"/>
    <w:qFormat/>
    <w:rsid w:val="00CF4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31-92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048-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48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8942-8C1E-408E-8143-60BBF216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14</Pages>
  <Words>17237</Words>
  <Characters>9826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2020-02-18T07:49:00Z</cp:lastPrinted>
  <dcterms:created xsi:type="dcterms:W3CDTF">2020-01-08T09:47:00Z</dcterms:created>
  <dcterms:modified xsi:type="dcterms:W3CDTF">2020-02-18T07:59:00Z</dcterms:modified>
</cp:coreProperties>
</file>