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328"/>
        <w:gridCol w:w="4536"/>
      </w:tblGrid>
      <w:tr w:rsidR="004A10A8" w:rsidRPr="00A730A6" w:rsidTr="00C33052">
        <w:trPr>
          <w:trHeight w:val="1618"/>
        </w:trPr>
        <w:tc>
          <w:tcPr>
            <w:tcW w:w="2276" w:type="dxa"/>
          </w:tcPr>
          <w:p w:rsidR="004A10A8" w:rsidRPr="00A730A6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A730A6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4A10A8" w:rsidRPr="00A730A6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                                        Додаток </w:t>
            </w:r>
            <w:r w:rsidR="007F67C8">
              <w:rPr>
                <w:sz w:val="28"/>
                <w:szCs w:val="28"/>
              </w:rPr>
              <w:t>1</w:t>
            </w:r>
          </w:p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>ЗАТВЕРДЖЕНО</w:t>
            </w:r>
          </w:p>
          <w:p w:rsidR="004A10A8" w:rsidRPr="00A730A6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A730A6" w:rsidRDefault="004A10A8" w:rsidP="00A00DEC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730A6">
              <w:rPr>
                <w:rStyle w:val="rvts15"/>
                <w:sz w:val="28"/>
                <w:szCs w:val="28"/>
              </w:rPr>
              <w:t>від</w:t>
            </w:r>
            <w:r w:rsidR="007F67C8">
              <w:rPr>
                <w:rStyle w:val="rvts15"/>
                <w:sz w:val="28"/>
                <w:szCs w:val="28"/>
              </w:rPr>
              <w:t xml:space="preserve"> </w:t>
            </w:r>
            <w:r w:rsidR="00A00DEC">
              <w:rPr>
                <w:rStyle w:val="rvts15"/>
                <w:sz w:val="28"/>
                <w:szCs w:val="28"/>
              </w:rPr>
              <w:t>23</w:t>
            </w:r>
            <w:r w:rsidR="007F67C8">
              <w:rPr>
                <w:rStyle w:val="rvts15"/>
                <w:sz w:val="28"/>
                <w:szCs w:val="28"/>
              </w:rPr>
              <w:t xml:space="preserve"> червня</w:t>
            </w:r>
            <w:r w:rsidR="00212B10">
              <w:rPr>
                <w:rStyle w:val="rvts15"/>
                <w:sz w:val="28"/>
                <w:szCs w:val="28"/>
              </w:rPr>
              <w:t xml:space="preserve"> </w:t>
            </w:r>
            <w:r w:rsidR="003B6E85" w:rsidRPr="00A730A6">
              <w:rPr>
                <w:rStyle w:val="rvts15"/>
                <w:sz w:val="28"/>
                <w:szCs w:val="28"/>
              </w:rPr>
              <w:t>2021</w:t>
            </w:r>
            <w:r w:rsidR="00C33052" w:rsidRPr="00A730A6">
              <w:rPr>
                <w:rStyle w:val="rvts15"/>
                <w:sz w:val="28"/>
                <w:szCs w:val="28"/>
              </w:rPr>
              <w:t xml:space="preserve">р. </w:t>
            </w:r>
            <w:r w:rsidRPr="00A730A6">
              <w:rPr>
                <w:rStyle w:val="rvts15"/>
                <w:sz w:val="28"/>
                <w:szCs w:val="28"/>
              </w:rPr>
              <w:t>№</w:t>
            </w:r>
            <w:r w:rsidR="00DF5B00" w:rsidRPr="00A730A6">
              <w:rPr>
                <w:rStyle w:val="rvts15"/>
                <w:sz w:val="28"/>
                <w:szCs w:val="28"/>
              </w:rPr>
              <w:t xml:space="preserve"> </w:t>
            </w:r>
            <w:r w:rsidR="00A00DEC">
              <w:rPr>
                <w:rStyle w:val="rvts15"/>
                <w:sz w:val="28"/>
                <w:szCs w:val="28"/>
              </w:rPr>
              <w:t>294</w:t>
            </w:r>
          </w:p>
        </w:tc>
      </w:tr>
    </w:tbl>
    <w:p w:rsidR="004A10A8" w:rsidRPr="00A730A6" w:rsidRDefault="004A10A8" w:rsidP="004A10A8">
      <w:pPr>
        <w:jc w:val="center"/>
        <w:rPr>
          <w:sz w:val="28"/>
          <w:szCs w:val="28"/>
        </w:rPr>
      </w:pPr>
    </w:p>
    <w:p w:rsidR="006D3F25" w:rsidRPr="00A730A6" w:rsidRDefault="006D3F25" w:rsidP="004A10A8">
      <w:pPr>
        <w:jc w:val="center"/>
        <w:rPr>
          <w:sz w:val="28"/>
          <w:szCs w:val="28"/>
        </w:rPr>
      </w:pPr>
    </w:p>
    <w:p w:rsidR="004A10A8" w:rsidRPr="00A730A6" w:rsidRDefault="004A10A8" w:rsidP="004A10A8">
      <w:pPr>
        <w:jc w:val="center"/>
        <w:rPr>
          <w:sz w:val="28"/>
          <w:szCs w:val="28"/>
        </w:rPr>
      </w:pPr>
      <w:r w:rsidRPr="00A730A6">
        <w:rPr>
          <w:sz w:val="28"/>
          <w:szCs w:val="28"/>
        </w:rPr>
        <w:t xml:space="preserve"> УМОВИ </w:t>
      </w:r>
    </w:p>
    <w:p w:rsidR="003B6E85" w:rsidRPr="00A730A6" w:rsidRDefault="008E3F0D" w:rsidP="003B6E85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A730A6">
        <w:rPr>
          <w:sz w:val="28"/>
          <w:szCs w:val="28"/>
        </w:rPr>
        <w:t xml:space="preserve">проведення </w:t>
      </w:r>
      <w:r w:rsidRPr="00A730A6">
        <w:rPr>
          <w:rFonts w:eastAsia="Times New Roman"/>
          <w:sz w:val="28"/>
          <w:szCs w:val="28"/>
        </w:rPr>
        <w:t xml:space="preserve">конкурсу на </w:t>
      </w:r>
      <w:r w:rsidRPr="00A730A6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D52FD6" w:rsidRPr="00A730A6">
        <w:rPr>
          <w:rFonts w:eastAsia="Times New Roman"/>
          <w:snapToGrid w:val="0"/>
          <w:sz w:val="28"/>
          <w:szCs w:val="28"/>
        </w:rPr>
        <w:t>В</w:t>
      </w:r>
      <w:r w:rsidRPr="00A730A6">
        <w:rPr>
          <w:rFonts w:eastAsia="Times New Roman"/>
          <w:snapToGrid w:val="0"/>
          <w:sz w:val="28"/>
          <w:szCs w:val="28"/>
        </w:rPr>
        <w:t>” –</w:t>
      </w:r>
      <w:r w:rsidR="003B6E85" w:rsidRPr="00A730A6">
        <w:rPr>
          <w:rFonts w:eastAsia="Times New Roman"/>
          <w:snapToGrid w:val="0"/>
          <w:sz w:val="28"/>
          <w:szCs w:val="28"/>
        </w:rPr>
        <w:t xml:space="preserve"> </w:t>
      </w:r>
      <w:r w:rsidR="00D52FD6" w:rsidRPr="00A730A6">
        <w:rPr>
          <w:rFonts w:eastAsia="Times New Roman"/>
          <w:snapToGrid w:val="0"/>
          <w:sz w:val="28"/>
          <w:szCs w:val="28"/>
        </w:rPr>
        <w:t xml:space="preserve">головного спеціаліста </w:t>
      </w:r>
      <w:r w:rsidR="003B6E85" w:rsidRPr="00A730A6">
        <w:rPr>
          <w:sz w:val="28"/>
          <w:szCs w:val="28"/>
        </w:rPr>
        <w:t xml:space="preserve">Відділу бухгалтерського обліку та фінансів </w:t>
      </w:r>
    </w:p>
    <w:p w:rsidR="004A10A8" w:rsidRPr="00A730A6" w:rsidRDefault="004A10A8" w:rsidP="004A10A8">
      <w:pPr>
        <w:jc w:val="center"/>
        <w:rPr>
          <w:sz w:val="26"/>
          <w:szCs w:val="2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5556CB" w:rsidRPr="00A730A6" w:rsidTr="00703877">
        <w:tc>
          <w:tcPr>
            <w:tcW w:w="10638" w:type="dxa"/>
            <w:gridSpan w:val="4"/>
            <w:vAlign w:val="center"/>
          </w:tcPr>
          <w:p w:rsidR="004A10A8" w:rsidRPr="00A730A6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A730A6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A730A6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2523DB" w:rsidRPr="00A730A6" w:rsidRDefault="00D52FD6" w:rsidP="00D52FD6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A730A6">
              <w:rPr>
                <w:bCs/>
                <w:spacing w:val="-2"/>
                <w:sz w:val="28"/>
                <w:szCs w:val="28"/>
              </w:rPr>
              <w:t xml:space="preserve">- </w:t>
            </w:r>
            <w:r w:rsidR="007D3D21">
              <w:rPr>
                <w:bCs/>
                <w:spacing w:val="-2"/>
                <w:sz w:val="28"/>
                <w:szCs w:val="28"/>
              </w:rPr>
              <w:t>здійсн</w:t>
            </w:r>
            <w:r w:rsidR="007F67C8">
              <w:rPr>
                <w:bCs/>
                <w:spacing w:val="-2"/>
                <w:sz w:val="28"/>
                <w:szCs w:val="28"/>
              </w:rPr>
              <w:t>ення</w:t>
            </w:r>
            <w:r w:rsidRPr="00A730A6">
              <w:rPr>
                <w:bCs/>
                <w:spacing w:val="-2"/>
                <w:sz w:val="28"/>
                <w:szCs w:val="28"/>
              </w:rPr>
              <w:t xml:space="preserve"> ведення бухгалтерського обліку відповідно до національних положень (стандартів) бухгалтерського обліку в державному секторі 132 “Виплати працівникам</w:t>
            </w:r>
            <w:r w:rsidR="007D3D21" w:rsidRPr="007D3D21">
              <w:rPr>
                <w:bCs/>
                <w:spacing w:val="-2"/>
                <w:sz w:val="28"/>
                <w:szCs w:val="28"/>
                <w:lang w:val="ru-RU"/>
              </w:rPr>
              <w:t>”</w:t>
            </w:r>
            <w:r w:rsidRPr="00A730A6">
              <w:rPr>
                <w:bCs/>
                <w:spacing w:val="-2"/>
                <w:sz w:val="28"/>
                <w:szCs w:val="28"/>
              </w:rPr>
              <w:t>;</w:t>
            </w:r>
          </w:p>
          <w:p w:rsidR="00D52FD6" w:rsidRPr="00A730A6" w:rsidRDefault="007D3D21" w:rsidP="00D52FD6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- забезпеч</w:t>
            </w:r>
            <w:r w:rsidR="007F67C8">
              <w:rPr>
                <w:bCs/>
                <w:spacing w:val="-2"/>
                <w:sz w:val="28"/>
                <w:szCs w:val="28"/>
              </w:rPr>
              <w:t>ення</w:t>
            </w:r>
            <w:r>
              <w:rPr>
                <w:bCs/>
                <w:spacing w:val="-2"/>
                <w:sz w:val="28"/>
                <w:szCs w:val="28"/>
              </w:rPr>
              <w:t xml:space="preserve"> повн</w:t>
            </w:r>
            <w:r w:rsidR="007F67C8">
              <w:rPr>
                <w:bCs/>
                <w:spacing w:val="-2"/>
                <w:sz w:val="28"/>
                <w:szCs w:val="28"/>
              </w:rPr>
              <w:t>ого</w:t>
            </w:r>
            <w:r>
              <w:rPr>
                <w:bCs/>
                <w:spacing w:val="-2"/>
                <w:sz w:val="28"/>
                <w:szCs w:val="28"/>
              </w:rPr>
              <w:t xml:space="preserve"> та достовірн</w:t>
            </w:r>
            <w:r w:rsidR="007F67C8">
              <w:rPr>
                <w:bCs/>
                <w:spacing w:val="-2"/>
                <w:sz w:val="28"/>
                <w:szCs w:val="28"/>
              </w:rPr>
              <w:t>ого</w:t>
            </w:r>
            <w:r w:rsidR="00D52FD6" w:rsidRPr="00A730A6">
              <w:rPr>
                <w:bCs/>
                <w:spacing w:val="-2"/>
                <w:sz w:val="28"/>
                <w:szCs w:val="28"/>
              </w:rPr>
              <w:t xml:space="preserve"> відображення інформації, що міститься у прийнятих до обліку первинних документах, на рахунках бухгалтерського обліку;</w:t>
            </w:r>
          </w:p>
          <w:p w:rsidR="003A5617" w:rsidRPr="00A730A6" w:rsidRDefault="00D52FD6" w:rsidP="00D52FD6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A730A6">
              <w:rPr>
                <w:bCs/>
                <w:spacing w:val="-2"/>
                <w:sz w:val="28"/>
                <w:szCs w:val="28"/>
              </w:rPr>
              <w:t>- забезпеч</w:t>
            </w:r>
            <w:r w:rsidR="007F67C8">
              <w:rPr>
                <w:bCs/>
                <w:spacing w:val="-2"/>
                <w:sz w:val="28"/>
                <w:szCs w:val="28"/>
              </w:rPr>
              <w:t>ення</w:t>
            </w:r>
            <w:r w:rsidRPr="00A730A6">
              <w:rPr>
                <w:bCs/>
                <w:spacing w:val="-2"/>
                <w:sz w:val="28"/>
                <w:szCs w:val="28"/>
              </w:rPr>
              <w:t xml:space="preserve"> своєчасн</w:t>
            </w:r>
            <w:r w:rsidR="007F67C8">
              <w:rPr>
                <w:bCs/>
                <w:spacing w:val="-2"/>
                <w:sz w:val="28"/>
                <w:szCs w:val="28"/>
              </w:rPr>
              <w:t>ого</w:t>
            </w:r>
            <w:r w:rsidRPr="00A730A6">
              <w:rPr>
                <w:bCs/>
                <w:spacing w:val="-2"/>
                <w:sz w:val="28"/>
                <w:szCs w:val="28"/>
              </w:rPr>
              <w:t xml:space="preserve"> складання та подання бухгалтерської і статистичної звітності з питань оплати праці на основі даних первинних  документів до органів статистики, соціальних фондів та щоквартальної звітності по нарахованих доходах та утриманому прибутковому </w:t>
            </w:r>
            <w:r w:rsidR="003A5617" w:rsidRPr="00A730A6">
              <w:rPr>
                <w:bCs/>
                <w:spacing w:val="-2"/>
                <w:sz w:val="28"/>
                <w:szCs w:val="28"/>
              </w:rPr>
              <w:t>податку в ДПІ (форма 1-ДФ), пров</w:t>
            </w:r>
            <w:r w:rsidR="007F67C8">
              <w:rPr>
                <w:bCs/>
                <w:spacing w:val="-2"/>
                <w:sz w:val="28"/>
                <w:szCs w:val="28"/>
              </w:rPr>
              <w:t>е</w:t>
            </w:r>
            <w:r w:rsidR="003A5617" w:rsidRPr="00A730A6">
              <w:rPr>
                <w:bCs/>
                <w:spacing w:val="-2"/>
                <w:sz w:val="28"/>
                <w:szCs w:val="28"/>
              </w:rPr>
              <w:t>д</w:t>
            </w:r>
            <w:r w:rsidR="007F67C8">
              <w:rPr>
                <w:bCs/>
                <w:spacing w:val="-2"/>
                <w:sz w:val="28"/>
                <w:szCs w:val="28"/>
              </w:rPr>
              <w:t>ення</w:t>
            </w:r>
            <w:r w:rsidR="003A5617" w:rsidRPr="00A730A6">
              <w:rPr>
                <w:bCs/>
                <w:spacing w:val="-2"/>
                <w:sz w:val="28"/>
                <w:szCs w:val="28"/>
              </w:rPr>
              <w:t xml:space="preserve"> персоніфікован</w:t>
            </w:r>
            <w:r w:rsidR="007F67C8">
              <w:rPr>
                <w:bCs/>
                <w:spacing w:val="-2"/>
                <w:sz w:val="28"/>
                <w:szCs w:val="28"/>
              </w:rPr>
              <w:t>ого</w:t>
            </w:r>
            <w:r w:rsidR="003A5617" w:rsidRPr="00A730A6">
              <w:rPr>
                <w:bCs/>
                <w:spacing w:val="-2"/>
                <w:sz w:val="28"/>
                <w:szCs w:val="28"/>
              </w:rPr>
              <w:t xml:space="preserve"> облік</w:t>
            </w:r>
            <w:r w:rsidR="007F67C8">
              <w:rPr>
                <w:bCs/>
                <w:spacing w:val="-2"/>
                <w:sz w:val="28"/>
                <w:szCs w:val="28"/>
              </w:rPr>
              <w:t>у</w:t>
            </w:r>
            <w:r w:rsidR="003A5617" w:rsidRPr="00A730A6">
              <w:rPr>
                <w:bCs/>
                <w:spacing w:val="-2"/>
                <w:sz w:val="28"/>
                <w:szCs w:val="28"/>
              </w:rPr>
              <w:t xml:space="preserve"> працівників Держекоінспекції </w:t>
            </w:r>
            <w:r w:rsidR="007D3D21">
              <w:rPr>
                <w:bCs/>
                <w:spacing w:val="-2"/>
                <w:sz w:val="28"/>
                <w:szCs w:val="28"/>
              </w:rPr>
              <w:t xml:space="preserve">                       </w:t>
            </w:r>
            <w:r w:rsidR="003A5617" w:rsidRPr="00A730A6">
              <w:rPr>
                <w:bCs/>
                <w:spacing w:val="-2"/>
                <w:sz w:val="28"/>
                <w:szCs w:val="28"/>
              </w:rPr>
              <w:t xml:space="preserve">з утримання податку та </w:t>
            </w:r>
            <w:r w:rsidR="007F67C8">
              <w:rPr>
                <w:bCs/>
                <w:spacing w:val="-2"/>
                <w:sz w:val="28"/>
                <w:szCs w:val="28"/>
              </w:rPr>
              <w:t>подання</w:t>
            </w:r>
            <w:r w:rsidR="003A5617" w:rsidRPr="00A730A6">
              <w:rPr>
                <w:bCs/>
                <w:spacing w:val="-2"/>
                <w:sz w:val="28"/>
                <w:szCs w:val="28"/>
              </w:rPr>
              <w:t xml:space="preserve"> щомісяця до 20 числа наступного за звітним місяця до Державної фіскальної служби Звіт</w:t>
            </w:r>
            <w:r w:rsidR="007F67C8">
              <w:rPr>
                <w:bCs/>
                <w:spacing w:val="-2"/>
                <w:sz w:val="28"/>
                <w:szCs w:val="28"/>
              </w:rPr>
              <w:t>у</w:t>
            </w:r>
            <w:r w:rsidR="003A5617" w:rsidRPr="00A730A6">
              <w:rPr>
                <w:bCs/>
                <w:spacing w:val="-2"/>
                <w:sz w:val="28"/>
                <w:szCs w:val="28"/>
              </w:rPr>
              <w:t xml:space="preserve"> про суми нарахованої заробітної плати (доходу, грошового забезпечення, допомоги, компенсації) застрахованих осіб та суми нарахованого єдиного внеску на загальнообов’язкове державне соціальне страхування до органів доходів і зборів;</w:t>
            </w:r>
          </w:p>
          <w:p w:rsidR="003A5617" w:rsidRPr="00A730A6" w:rsidRDefault="003A5617" w:rsidP="003A561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A730A6">
              <w:rPr>
                <w:bCs/>
                <w:spacing w:val="-2"/>
                <w:sz w:val="28"/>
                <w:szCs w:val="28"/>
              </w:rPr>
              <w:t>- здійсн</w:t>
            </w:r>
            <w:r w:rsidR="007F67C8">
              <w:rPr>
                <w:bCs/>
                <w:spacing w:val="-2"/>
                <w:sz w:val="28"/>
                <w:szCs w:val="28"/>
              </w:rPr>
              <w:t>ення</w:t>
            </w:r>
            <w:r w:rsidRPr="00A730A6">
              <w:rPr>
                <w:bCs/>
                <w:spacing w:val="-2"/>
                <w:sz w:val="28"/>
                <w:szCs w:val="28"/>
              </w:rPr>
              <w:t xml:space="preserve"> нарахування цільової грошової допомоги працівникам апарату Держекоінспекції, які постраждали внаслідок Чорнобильської катастрофи;</w:t>
            </w:r>
          </w:p>
          <w:p w:rsidR="003A5617" w:rsidRPr="00A730A6" w:rsidRDefault="007F67C8" w:rsidP="003A561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- здійснення</w:t>
            </w:r>
            <w:r w:rsidR="003A5617" w:rsidRPr="00A730A6">
              <w:rPr>
                <w:bCs/>
                <w:spacing w:val="-2"/>
                <w:sz w:val="28"/>
                <w:szCs w:val="28"/>
              </w:rPr>
              <w:t xml:space="preserve"> підготовк</w:t>
            </w:r>
            <w:r>
              <w:rPr>
                <w:bCs/>
                <w:spacing w:val="-2"/>
                <w:sz w:val="28"/>
                <w:szCs w:val="28"/>
              </w:rPr>
              <w:t>и</w:t>
            </w:r>
            <w:r w:rsidR="003A5617" w:rsidRPr="00A730A6">
              <w:rPr>
                <w:bCs/>
                <w:spacing w:val="-2"/>
                <w:sz w:val="28"/>
                <w:szCs w:val="28"/>
              </w:rPr>
              <w:t xml:space="preserve"> довідок по заробітній платі працівників апарату Держекоінспекції;</w:t>
            </w:r>
          </w:p>
          <w:p w:rsidR="0048296A" w:rsidRPr="00A730A6" w:rsidRDefault="007F67C8" w:rsidP="003A561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- забезпечення підготовки</w:t>
            </w:r>
            <w:r w:rsidR="0048296A" w:rsidRPr="00A730A6">
              <w:rPr>
                <w:bCs/>
                <w:spacing w:val="-2"/>
                <w:sz w:val="28"/>
                <w:szCs w:val="28"/>
              </w:rPr>
              <w:t xml:space="preserve"> відповідей з питань обліку та звітності на запити територіальних та міжрегіональних територіальних</w:t>
            </w:r>
            <w:r w:rsidR="00A730A6" w:rsidRPr="00A730A6">
              <w:rPr>
                <w:bCs/>
                <w:spacing w:val="-2"/>
                <w:sz w:val="28"/>
                <w:szCs w:val="28"/>
              </w:rPr>
              <w:t xml:space="preserve"> органів, центральних органів виконавчої влади, підприємств та організацій, фізичних осіб;</w:t>
            </w:r>
          </w:p>
          <w:p w:rsidR="00A730A6" w:rsidRPr="00A730A6" w:rsidRDefault="007F67C8" w:rsidP="003A561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lastRenderedPageBreak/>
              <w:t>- здійснення</w:t>
            </w:r>
            <w:r w:rsidR="00A730A6" w:rsidRPr="00A730A6">
              <w:rPr>
                <w:bCs/>
                <w:spacing w:val="-2"/>
                <w:sz w:val="28"/>
                <w:szCs w:val="28"/>
              </w:rPr>
              <w:t xml:space="preserve"> контрол</w:t>
            </w:r>
            <w:r>
              <w:rPr>
                <w:bCs/>
                <w:spacing w:val="-2"/>
                <w:sz w:val="28"/>
                <w:szCs w:val="28"/>
              </w:rPr>
              <w:t>ю</w:t>
            </w:r>
            <w:r w:rsidR="00A730A6" w:rsidRPr="00A730A6">
              <w:rPr>
                <w:bCs/>
                <w:spacing w:val="-2"/>
                <w:sz w:val="28"/>
                <w:szCs w:val="28"/>
              </w:rPr>
              <w:t xml:space="preserve"> за дотриманням порядку оформлення первинних бухгалтерських документів, розрахунків і платіжних та фінансових зобов’язань;</w:t>
            </w:r>
          </w:p>
          <w:p w:rsidR="00D52FD6" w:rsidRPr="00A730A6" w:rsidRDefault="00A730A6" w:rsidP="007F67C8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A730A6">
              <w:rPr>
                <w:bCs/>
                <w:spacing w:val="-2"/>
                <w:sz w:val="28"/>
                <w:szCs w:val="28"/>
              </w:rPr>
              <w:t>склада</w:t>
            </w:r>
            <w:r w:rsidR="007F67C8">
              <w:rPr>
                <w:bCs/>
                <w:spacing w:val="-2"/>
                <w:sz w:val="28"/>
                <w:szCs w:val="28"/>
              </w:rPr>
              <w:t>ння</w:t>
            </w:r>
            <w:r w:rsidRPr="00A730A6">
              <w:rPr>
                <w:bCs/>
                <w:spacing w:val="-2"/>
                <w:sz w:val="28"/>
                <w:szCs w:val="28"/>
              </w:rPr>
              <w:t xml:space="preserve"> меморіальн</w:t>
            </w:r>
            <w:r w:rsidR="007F67C8">
              <w:rPr>
                <w:bCs/>
                <w:spacing w:val="-2"/>
                <w:sz w:val="28"/>
                <w:szCs w:val="28"/>
              </w:rPr>
              <w:t>ого</w:t>
            </w:r>
            <w:r w:rsidRPr="00A730A6">
              <w:rPr>
                <w:bCs/>
                <w:spacing w:val="-2"/>
                <w:sz w:val="28"/>
                <w:szCs w:val="28"/>
              </w:rPr>
              <w:t xml:space="preserve"> ордер</w:t>
            </w:r>
            <w:r w:rsidR="007F67C8">
              <w:rPr>
                <w:bCs/>
                <w:spacing w:val="-2"/>
                <w:sz w:val="28"/>
                <w:szCs w:val="28"/>
              </w:rPr>
              <w:t>у</w:t>
            </w:r>
            <w:r w:rsidRPr="00A730A6">
              <w:rPr>
                <w:bCs/>
                <w:spacing w:val="-2"/>
                <w:sz w:val="28"/>
                <w:szCs w:val="28"/>
              </w:rPr>
              <w:t xml:space="preserve"> № 5.</w:t>
            </w:r>
            <w:r w:rsidR="003A5617" w:rsidRPr="00A730A6">
              <w:rPr>
                <w:bCs/>
                <w:spacing w:val="-2"/>
                <w:sz w:val="28"/>
                <w:szCs w:val="28"/>
              </w:rPr>
              <w:t xml:space="preserve">  </w:t>
            </w:r>
          </w:p>
        </w:tc>
      </w:tr>
      <w:tr w:rsidR="005556CB" w:rsidRPr="005556CB" w:rsidTr="007F67C8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3B6E85" w:rsidRPr="003B6E85" w:rsidRDefault="003B6E85" w:rsidP="003B6E85">
            <w:pPr>
              <w:ind w:left="112" w:right="164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="002D42FC">
              <w:rPr>
                <w:sz w:val="28"/>
                <w:szCs w:val="28"/>
                <w:shd w:val="clear" w:color="auto" w:fill="FFFFFF"/>
              </w:rPr>
              <w:t>д – 8</w:t>
            </w:r>
            <w:r w:rsidRPr="003B6E85">
              <w:rPr>
                <w:sz w:val="28"/>
                <w:szCs w:val="28"/>
                <w:shd w:val="clear" w:color="auto" w:fill="FFFFFF"/>
              </w:rPr>
              <w:t>500 грн.</w:t>
            </w:r>
            <w:r w:rsidRPr="003B6E85">
              <w:rPr>
                <w:sz w:val="28"/>
                <w:szCs w:val="28"/>
              </w:rPr>
              <w:t>;</w:t>
            </w:r>
          </w:p>
          <w:p w:rsidR="00D52A94" w:rsidRDefault="00D52A94" w:rsidP="00D52A94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D52A94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7F67C8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  <w:vAlign w:val="center"/>
          </w:tcPr>
          <w:p w:rsidR="002523DB" w:rsidRDefault="004A4222" w:rsidP="002523DB">
            <w:pPr>
              <w:ind w:left="122"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2523DB" w:rsidRPr="005556CB">
              <w:rPr>
                <w:sz w:val="28"/>
                <w:szCs w:val="28"/>
              </w:rPr>
              <w:t>езстроково</w:t>
            </w:r>
            <w:r>
              <w:rPr>
                <w:sz w:val="28"/>
                <w:szCs w:val="28"/>
              </w:rPr>
              <w:t>;</w:t>
            </w:r>
          </w:p>
          <w:p w:rsidR="004A4222" w:rsidRPr="005556CB" w:rsidRDefault="004A4222" w:rsidP="002523DB">
            <w:pPr>
              <w:ind w:left="122" w:right="12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підтвердження </w:t>
            </w:r>
            <w:r w:rsidRPr="005556CB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5556CB">
              <w:rPr>
                <w:sz w:val="28"/>
                <w:szCs w:val="28"/>
              </w:rPr>
              <w:t>івня</w:t>
            </w:r>
            <w:proofErr w:type="spellEnd"/>
            <w:r w:rsidRPr="005556CB">
              <w:rPr>
                <w:sz w:val="28"/>
                <w:szCs w:val="28"/>
              </w:rPr>
              <w:t xml:space="preserve"> володіння державною мовою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5556CB">
              <w:rPr>
                <w:sz w:val="28"/>
                <w:szCs w:val="28"/>
                <w:lang w:val="ru-RU"/>
              </w:rPr>
              <w:t>.</w:t>
            </w:r>
          </w:p>
          <w:p w:rsidR="00C43185" w:rsidRPr="005556CB" w:rsidRDefault="00C43185" w:rsidP="00C43185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язковою</w:t>
            </w:r>
            <w:proofErr w:type="spellEnd"/>
            <w:r w:rsidRPr="005556CB">
              <w:rPr>
                <w:sz w:val="28"/>
                <w:szCs w:val="28"/>
              </w:rPr>
              <w:t>.</w:t>
            </w:r>
          </w:p>
          <w:p w:rsidR="002523DB" w:rsidRPr="00377172" w:rsidRDefault="002523DB" w:rsidP="00377172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6D3F25">
              <w:rPr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377172">
              <w:rPr>
                <w:sz w:val="28"/>
                <w:szCs w:val="28"/>
                <w:shd w:val="clear" w:color="auto" w:fill="FFFFFF"/>
              </w:rPr>
              <w:t xml:space="preserve">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5556CB" w:rsidRDefault="002523DB" w:rsidP="000E564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 xml:space="preserve">Інформація подається через </w:t>
            </w:r>
            <w:r w:rsidRPr="005556CB">
              <w:rPr>
                <w:rFonts w:eastAsia="Times New Roman"/>
                <w:sz w:val="28"/>
                <w:szCs w:val="28"/>
              </w:rPr>
              <w:t>Єдиний портал              вакансій державної служби (</w:t>
            </w:r>
            <w:r w:rsidRPr="005556CB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5556C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5556CB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5556CB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5556CB">
              <w:rPr>
                <w:rFonts w:eastAsia="Times New Roman"/>
                <w:sz w:val="28"/>
                <w:szCs w:val="28"/>
              </w:rPr>
              <w:t>)</w:t>
            </w:r>
            <w:r w:rsidRPr="005556CB">
              <w:rPr>
                <w:rFonts w:eastAsia="Times New Roman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                                </w:t>
            </w:r>
            <w:r w:rsidR="00F7312D">
              <w:rPr>
                <w:sz w:val="28"/>
                <w:szCs w:val="28"/>
              </w:rPr>
              <w:t>до 17</w:t>
            </w:r>
            <w:r w:rsidR="000E564E">
              <w:rPr>
                <w:sz w:val="28"/>
                <w:szCs w:val="28"/>
              </w:rPr>
              <w:t xml:space="preserve"> год. 00 хв. 30</w:t>
            </w:r>
            <w:r w:rsidRPr="005556CB">
              <w:rPr>
                <w:sz w:val="28"/>
                <w:szCs w:val="28"/>
              </w:rPr>
              <w:t xml:space="preserve"> </w:t>
            </w:r>
            <w:r w:rsidR="007F67C8">
              <w:rPr>
                <w:sz w:val="28"/>
                <w:szCs w:val="28"/>
              </w:rPr>
              <w:t>червня</w:t>
            </w:r>
            <w:r w:rsidRPr="005556CB">
              <w:rPr>
                <w:sz w:val="28"/>
                <w:szCs w:val="28"/>
              </w:rPr>
              <w:t xml:space="preserve"> 202</w:t>
            </w:r>
            <w:r w:rsidR="00F7312D"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5556CB" w:rsidRPr="005556CB" w:rsidTr="00B52F7E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5556CB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2523DB" w:rsidRPr="005556CB" w:rsidRDefault="002523DB" w:rsidP="0070387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0E564E" w:rsidRDefault="000E564E" w:rsidP="00A26DF2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</w:p>
          <w:p w:rsidR="002523DB" w:rsidRPr="005556CB" w:rsidRDefault="007F67C8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="000E564E">
              <w:rPr>
                <w:sz w:val="28"/>
                <w:szCs w:val="28"/>
                <w:lang w:val="ru-RU"/>
              </w:rPr>
              <w:t>2</w:t>
            </w:r>
            <w:r w:rsidR="002523DB" w:rsidRPr="005556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липня</w:t>
            </w:r>
            <w:r w:rsidR="002523DB" w:rsidRPr="005556CB">
              <w:rPr>
                <w:sz w:val="28"/>
                <w:szCs w:val="28"/>
              </w:rPr>
              <w:t xml:space="preserve"> 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 w:rsidR="00611CB2" w:rsidRPr="005556CB">
              <w:rPr>
                <w:sz w:val="28"/>
                <w:szCs w:val="28"/>
              </w:rPr>
              <w:t>10 год. 00 хв.</w:t>
            </w:r>
          </w:p>
          <w:p w:rsidR="00BC20A1" w:rsidRDefault="00BC20A1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11CB2" w:rsidRDefault="00611CB2" w:rsidP="00A26DF2">
            <w:pPr>
              <w:ind w:left="122" w:right="128"/>
              <w:jc w:val="both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 w:rsidR="00C42E68" w:rsidRPr="00C42E6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42E68" w:rsidRPr="00C42E68">
              <w:rPr>
                <w:sz w:val="28"/>
                <w:szCs w:val="28"/>
                <w:lang w:val="ru-RU"/>
              </w:rPr>
              <w:t>провулок</w:t>
            </w:r>
            <w:proofErr w:type="spellEnd"/>
            <w:r w:rsidR="00A26DF2" w:rsidRPr="005556CB">
              <w:rPr>
                <w:sz w:val="28"/>
                <w:szCs w:val="28"/>
              </w:rPr>
              <w:t>, 3, корпус 2 (проведення тестування за фізичної присутності кандидатів)</w:t>
            </w:r>
          </w:p>
          <w:p w:rsidR="006D3F25" w:rsidRPr="006D3F25" w:rsidRDefault="006D3F25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11CB2" w:rsidRPr="005556CB" w:rsidRDefault="00C42E68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="00A26DF2" w:rsidRPr="005556CB">
              <w:rPr>
                <w:sz w:val="28"/>
                <w:szCs w:val="28"/>
              </w:rPr>
              <w:t xml:space="preserve">, 3, корпус 2 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11CB2" w:rsidRPr="005556CB" w:rsidRDefault="00611CB2" w:rsidP="00A26DF2">
            <w:pPr>
              <w:jc w:val="both"/>
              <w:rPr>
                <w:sz w:val="28"/>
                <w:szCs w:val="28"/>
              </w:rPr>
            </w:pPr>
          </w:p>
        </w:tc>
      </w:tr>
      <w:tr w:rsidR="005556CB" w:rsidRPr="005556CB" w:rsidTr="007F67C8">
        <w:trPr>
          <w:gridAfter w:val="1"/>
          <w:wAfter w:w="10" w:type="dxa"/>
          <w:trHeight w:val="2215"/>
        </w:trPr>
        <w:tc>
          <w:tcPr>
            <w:tcW w:w="3681" w:type="dxa"/>
            <w:gridSpan w:val="2"/>
            <w:vAlign w:val="center"/>
          </w:tcPr>
          <w:p w:rsidR="002523DB" w:rsidRPr="005556CB" w:rsidRDefault="002523DB" w:rsidP="006D3F25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  <w:vAlign w:val="center"/>
          </w:tcPr>
          <w:p w:rsidR="002523DB" w:rsidRPr="005556CB" w:rsidRDefault="007F67C8" w:rsidP="002523DB">
            <w:pPr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Золотаренко Наталія Олександрівна</w:t>
            </w:r>
          </w:p>
          <w:p w:rsidR="002523DB" w:rsidRPr="005556C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2523DB" w:rsidRPr="005556CB" w:rsidRDefault="002523DB" w:rsidP="006D3F25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</w:tc>
      </w:tr>
      <w:tr w:rsidR="005556CB" w:rsidRPr="005556CB" w:rsidTr="00703877">
        <w:tc>
          <w:tcPr>
            <w:tcW w:w="10638" w:type="dxa"/>
            <w:gridSpan w:val="4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5556CB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  <w:vAlign w:val="center"/>
          </w:tcPr>
          <w:p w:rsidR="004C5A9A" w:rsidRDefault="002523DB" w:rsidP="00EC3C05">
            <w:pPr>
              <w:ind w:left="112" w:right="130"/>
              <w:jc w:val="both"/>
              <w:rPr>
                <w:rStyle w:val="rvts0"/>
                <w:sz w:val="28"/>
                <w:szCs w:val="28"/>
                <w:lang w:val="ru-RU"/>
              </w:rPr>
            </w:pPr>
            <w:r w:rsidRPr="005556CB">
              <w:rPr>
                <w:rStyle w:val="rvts0"/>
                <w:sz w:val="28"/>
                <w:szCs w:val="28"/>
              </w:rPr>
              <w:t>вища освіта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="002D42FC" w:rsidRPr="00193E5C">
              <w:rPr>
                <w:rFonts w:eastAsia="Times New Roman"/>
                <w:sz w:val="28"/>
                <w:szCs w:val="28"/>
              </w:rPr>
              <w:t>бакалавра</w:t>
            </w:r>
            <w:r w:rsidR="002D42FC">
              <w:rPr>
                <w:rFonts w:eastAsia="Times New Roman"/>
                <w:sz w:val="28"/>
                <w:szCs w:val="28"/>
              </w:rPr>
              <w:t>, молодшого бакалавра</w:t>
            </w:r>
            <w:r w:rsidR="002D42FC">
              <w:rPr>
                <w:rStyle w:val="rvts0"/>
                <w:sz w:val="28"/>
                <w:szCs w:val="28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>в галузях знань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>:</w:t>
            </w:r>
          </w:p>
          <w:p w:rsidR="004C5A9A" w:rsidRPr="004C5A9A" w:rsidRDefault="002523DB" w:rsidP="00EC3C05">
            <w:pPr>
              <w:ind w:left="74" w:right="13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56CB">
              <w:rPr>
                <w:rStyle w:val="rvts0"/>
                <w:sz w:val="28"/>
                <w:szCs w:val="28"/>
              </w:rPr>
              <w:t xml:space="preserve"> </w:t>
            </w:r>
            <w:r w:rsidR="004C5A9A" w:rsidRPr="004C5A9A">
              <w:rPr>
                <w:color w:val="000000"/>
                <w:sz w:val="28"/>
                <w:szCs w:val="28"/>
              </w:rPr>
              <w:t>“</w:t>
            </w:r>
            <w:r w:rsidR="004C5A9A" w:rsidRPr="004C5A9A">
              <w:rPr>
                <w:color w:val="000000"/>
                <w:sz w:val="28"/>
                <w:szCs w:val="28"/>
                <w:shd w:val="clear" w:color="auto" w:fill="FFFFFF"/>
              </w:rPr>
              <w:t>Управління та адміністрування” за спеціальностями “Облік і аудит”, “Фінанси, банківська справа та страхування”</w:t>
            </w:r>
            <w:r w:rsidR="004C5A9A" w:rsidRPr="004C5A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;</w:t>
            </w:r>
          </w:p>
          <w:p w:rsidR="004C5A9A" w:rsidRPr="004C5A9A" w:rsidRDefault="004C5A9A" w:rsidP="00EC3C05">
            <w:pPr>
              <w:ind w:left="74" w:right="130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C5A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“</w:t>
            </w:r>
            <w:r w:rsidRPr="004C5A9A">
              <w:rPr>
                <w:color w:val="000000"/>
                <w:sz w:val="28"/>
                <w:szCs w:val="28"/>
                <w:shd w:val="clear" w:color="auto" w:fill="FFFFFF"/>
              </w:rPr>
              <w:t>Соціальні та поведінкові науки</w:t>
            </w:r>
            <w:r w:rsidRPr="004C5A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”</w:t>
            </w:r>
            <w:r w:rsidRPr="004C5A9A">
              <w:rPr>
                <w:color w:val="000000"/>
                <w:sz w:val="28"/>
                <w:szCs w:val="28"/>
                <w:shd w:val="clear" w:color="auto" w:fill="FFFFFF"/>
              </w:rPr>
              <w:t xml:space="preserve"> за спеціальністю </w:t>
            </w:r>
            <w:r w:rsidRPr="004C5A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“</w:t>
            </w:r>
            <w:r w:rsidRPr="004C5A9A">
              <w:rPr>
                <w:color w:val="000000"/>
                <w:sz w:val="28"/>
                <w:szCs w:val="28"/>
                <w:shd w:val="clear" w:color="auto" w:fill="FFFFFF"/>
              </w:rPr>
              <w:t>Економіка</w:t>
            </w:r>
            <w:r w:rsidRPr="004C5A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”;</w:t>
            </w:r>
          </w:p>
          <w:p w:rsidR="002523DB" w:rsidRPr="005556CB" w:rsidRDefault="004C5A9A" w:rsidP="00EC3C05">
            <w:pPr>
              <w:ind w:left="112" w:right="130"/>
              <w:jc w:val="both"/>
              <w:rPr>
                <w:sz w:val="28"/>
                <w:szCs w:val="28"/>
              </w:rPr>
            </w:pPr>
            <w:r w:rsidRPr="004C5A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за </w:t>
            </w:r>
            <w:proofErr w:type="spellStart"/>
            <w:r w:rsidRPr="004C5A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напрямом</w:t>
            </w:r>
            <w:proofErr w:type="spellEnd"/>
            <w:r w:rsidRPr="004C5A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5A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підготовки</w:t>
            </w:r>
            <w:proofErr w:type="spellEnd"/>
            <w:r w:rsidRPr="004C5A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– </w:t>
            </w:r>
            <w:proofErr w:type="spellStart"/>
            <w:r w:rsidRPr="004C5A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бухгалтерський</w:t>
            </w:r>
            <w:proofErr w:type="spellEnd"/>
            <w:r w:rsidRPr="004C5A9A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4C5A9A">
              <w:rPr>
                <w:color w:val="000000"/>
                <w:sz w:val="28"/>
                <w:szCs w:val="28"/>
                <w:shd w:val="clear" w:color="auto" w:fill="FFFFFF"/>
              </w:rPr>
              <w:t>облік.</w:t>
            </w:r>
          </w:p>
        </w:tc>
      </w:tr>
      <w:tr w:rsidR="005556CB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  <w:vAlign w:val="center"/>
          </w:tcPr>
          <w:p w:rsidR="002523DB" w:rsidRPr="005556CB" w:rsidRDefault="00A221D7" w:rsidP="0035412D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5556CB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  <w:vAlign w:val="center"/>
          </w:tcPr>
          <w:p w:rsidR="002523DB" w:rsidRPr="005556CB" w:rsidRDefault="002523DB" w:rsidP="00EC3C0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5556CB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  <w:vAlign w:val="center"/>
          </w:tcPr>
          <w:p w:rsidR="002523DB" w:rsidRPr="005556CB" w:rsidRDefault="002523DB" w:rsidP="00EC3C0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5556CB" w:rsidRPr="005556CB" w:rsidTr="00703877">
        <w:tc>
          <w:tcPr>
            <w:tcW w:w="10638" w:type="dxa"/>
            <w:gridSpan w:val="4"/>
          </w:tcPr>
          <w:p w:rsidR="002523DB" w:rsidRPr="005556C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5556CB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2523DB" w:rsidRPr="005556C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8164D5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8164D5" w:rsidRPr="005556CB" w:rsidRDefault="008164D5" w:rsidP="008164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58" w:type="dxa"/>
            <w:vAlign w:val="center"/>
          </w:tcPr>
          <w:p w:rsidR="008164D5" w:rsidRPr="008164D5" w:rsidRDefault="008164D5" w:rsidP="00816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left="176" w:right="10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 xml:space="preserve">Робота з </w:t>
            </w:r>
          </w:p>
          <w:p w:rsidR="008164D5" w:rsidRPr="008164D5" w:rsidRDefault="008164D5" w:rsidP="00816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великими масивами інформації</w:t>
            </w:r>
          </w:p>
        </w:tc>
        <w:tc>
          <w:tcPr>
            <w:tcW w:w="6947" w:type="dxa"/>
          </w:tcPr>
          <w:p w:rsidR="008164D5" w:rsidRPr="008164D5" w:rsidRDefault="008164D5" w:rsidP="00816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9" w:right="1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Pr="008164D5">
              <w:rPr>
                <w:rFonts w:eastAsia="Times New Roman"/>
                <w:color w:val="000000"/>
                <w:sz w:val="28"/>
                <w:szCs w:val="28"/>
              </w:rPr>
              <w:t>здатність встановлювати логічні взаємозв’язки;</w:t>
            </w:r>
          </w:p>
          <w:p w:rsidR="008164D5" w:rsidRPr="008164D5" w:rsidRDefault="008164D5" w:rsidP="00816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9" w:right="1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Pr="008164D5">
              <w:rPr>
                <w:rFonts w:eastAsia="Times New Roman"/>
                <w:color w:val="000000"/>
                <w:sz w:val="28"/>
                <w:szCs w:val="28"/>
              </w:rPr>
              <w:t>вміння систематизувати великий масив інформації;</w:t>
            </w:r>
          </w:p>
          <w:p w:rsidR="008164D5" w:rsidRPr="008164D5" w:rsidRDefault="008164D5" w:rsidP="00816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9" w:right="1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Pr="008164D5">
              <w:rPr>
                <w:rFonts w:eastAsia="Times New Roman"/>
                <w:color w:val="000000"/>
                <w:sz w:val="28"/>
                <w:szCs w:val="28"/>
              </w:rPr>
              <w:t>здатність виділяти головне, робити чіткі, структуровані висновки</w:t>
            </w:r>
          </w:p>
        </w:tc>
      </w:tr>
      <w:tr w:rsidR="008164D5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8164D5" w:rsidRPr="005556CB" w:rsidRDefault="008164D5" w:rsidP="008164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58" w:type="dxa"/>
            <w:vAlign w:val="center"/>
          </w:tcPr>
          <w:p w:rsidR="008164D5" w:rsidRPr="008164D5" w:rsidRDefault="008164D5" w:rsidP="00816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47" w:type="dxa"/>
          </w:tcPr>
          <w:p w:rsidR="008164D5" w:rsidRPr="008164D5" w:rsidRDefault="008164D5" w:rsidP="008164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8164D5" w:rsidRPr="008164D5" w:rsidRDefault="008164D5" w:rsidP="008164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8164D5" w:rsidRPr="008164D5" w:rsidRDefault="008164D5" w:rsidP="008164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8164D5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8164D5" w:rsidRPr="005556CB" w:rsidRDefault="008164D5" w:rsidP="008164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tcBorders>
              <w:bottom w:val="single" w:sz="6" w:space="0" w:color="000000"/>
            </w:tcBorders>
            <w:vAlign w:val="center"/>
          </w:tcPr>
          <w:p w:rsidR="008164D5" w:rsidRPr="008164D5" w:rsidRDefault="008164D5" w:rsidP="00816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Цифрова грамотність</w:t>
            </w:r>
          </w:p>
        </w:tc>
        <w:tc>
          <w:tcPr>
            <w:tcW w:w="6947" w:type="dxa"/>
            <w:tcBorders>
              <w:bottom w:val="single" w:sz="6" w:space="0" w:color="000000"/>
            </w:tcBorders>
          </w:tcPr>
          <w:p w:rsidR="008164D5" w:rsidRPr="008164D5" w:rsidRDefault="008164D5" w:rsidP="008164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:rsidR="008164D5" w:rsidRPr="008164D5" w:rsidRDefault="008164D5" w:rsidP="008164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:rsidR="008164D5" w:rsidRPr="008164D5" w:rsidRDefault="008164D5" w:rsidP="008164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8164D5" w:rsidRPr="008164D5" w:rsidRDefault="008164D5" w:rsidP="008164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8164D5" w:rsidRPr="008164D5" w:rsidRDefault="008164D5" w:rsidP="008164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:rsidR="008164D5" w:rsidRPr="008164D5" w:rsidRDefault="008164D5" w:rsidP="008164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8164D5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8164D5" w:rsidRDefault="008164D5" w:rsidP="008164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  <w:vAlign w:val="center"/>
          </w:tcPr>
          <w:p w:rsidR="008164D5" w:rsidRPr="008164D5" w:rsidRDefault="008164D5" w:rsidP="00816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947" w:type="dxa"/>
          </w:tcPr>
          <w:p w:rsidR="008164D5" w:rsidRPr="008164D5" w:rsidRDefault="008164D5" w:rsidP="008164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8164D5" w:rsidRPr="008164D5" w:rsidRDefault="008164D5" w:rsidP="008164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8164D5" w:rsidRPr="008164D5" w:rsidRDefault="008164D5" w:rsidP="008164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</w:p>
        </w:tc>
      </w:tr>
      <w:tr w:rsidR="008164D5" w:rsidRPr="005556CB" w:rsidTr="00703877">
        <w:tc>
          <w:tcPr>
            <w:tcW w:w="10638" w:type="dxa"/>
            <w:gridSpan w:val="4"/>
          </w:tcPr>
          <w:p w:rsidR="008164D5" w:rsidRPr="005556CB" w:rsidRDefault="008164D5" w:rsidP="008164D5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8164D5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8164D5" w:rsidRPr="005556CB" w:rsidRDefault="008164D5" w:rsidP="008164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8164D5" w:rsidRPr="005556CB" w:rsidRDefault="008164D5" w:rsidP="008164D5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8164D5" w:rsidRPr="005556CB" w:rsidTr="007F67C8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8164D5" w:rsidRPr="005556CB" w:rsidRDefault="008164D5" w:rsidP="008164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8164D5" w:rsidRPr="005556CB" w:rsidRDefault="008164D5" w:rsidP="008164D5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8164D5" w:rsidRPr="005556CB" w:rsidRDefault="007F67C8" w:rsidP="008164D5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Конституція</w:t>
            </w:r>
            <w:r w:rsidR="008164D5" w:rsidRPr="005556CB">
              <w:rPr>
                <w:sz w:val="28"/>
                <w:szCs w:val="28"/>
              </w:rPr>
              <w:t xml:space="preserve"> України;</w:t>
            </w:r>
          </w:p>
          <w:p w:rsidR="008164D5" w:rsidRPr="005556CB" w:rsidRDefault="007F67C8" w:rsidP="008164D5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</w:t>
            </w:r>
            <w:r w:rsidR="008164D5" w:rsidRPr="005556CB">
              <w:rPr>
                <w:sz w:val="28"/>
                <w:szCs w:val="28"/>
              </w:rPr>
              <w:t xml:space="preserve"> України “Про державну службу”;</w:t>
            </w:r>
          </w:p>
          <w:p w:rsidR="008164D5" w:rsidRPr="005556CB" w:rsidRDefault="008164D5" w:rsidP="008164D5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 України “Про запобігання корупції”</w:t>
            </w:r>
          </w:p>
          <w:p w:rsidR="008164D5" w:rsidRPr="005556CB" w:rsidRDefault="008164D5" w:rsidP="007F67C8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та інш</w:t>
            </w:r>
            <w:r w:rsidR="007F67C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законодавств</w:t>
            </w:r>
            <w:r w:rsidR="007F67C8">
              <w:rPr>
                <w:sz w:val="28"/>
                <w:szCs w:val="28"/>
              </w:rPr>
              <w:t>о</w:t>
            </w:r>
          </w:p>
        </w:tc>
      </w:tr>
      <w:tr w:rsidR="008164D5" w:rsidRPr="005556CB" w:rsidTr="00B52F7E">
        <w:trPr>
          <w:gridAfter w:val="1"/>
          <w:wAfter w:w="10" w:type="dxa"/>
        </w:trPr>
        <w:tc>
          <w:tcPr>
            <w:tcW w:w="523" w:type="dxa"/>
            <w:vAlign w:val="center"/>
          </w:tcPr>
          <w:p w:rsidR="008164D5" w:rsidRPr="005556CB" w:rsidRDefault="008164D5" w:rsidP="008164D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58" w:type="dxa"/>
            <w:vAlign w:val="center"/>
          </w:tcPr>
          <w:p w:rsidR="008164D5" w:rsidRDefault="008164D5" w:rsidP="008164D5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</w:p>
          <w:p w:rsidR="008164D5" w:rsidRPr="005556CB" w:rsidRDefault="008164D5" w:rsidP="008164D5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8164D5" w:rsidRPr="0072578B" w:rsidRDefault="008164D5" w:rsidP="008164D5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946810">
              <w:rPr>
                <w:sz w:val="28"/>
                <w:szCs w:val="28"/>
              </w:rPr>
              <w:t>Бюджетн</w:t>
            </w:r>
            <w:r w:rsidR="007F67C8">
              <w:rPr>
                <w:sz w:val="28"/>
                <w:szCs w:val="28"/>
              </w:rPr>
              <w:t>ий</w:t>
            </w:r>
            <w:r w:rsidRPr="00946810">
              <w:rPr>
                <w:sz w:val="28"/>
                <w:szCs w:val="28"/>
              </w:rPr>
              <w:t xml:space="preserve"> кодекс України;</w:t>
            </w:r>
          </w:p>
          <w:p w:rsidR="008164D5" w:rsidRPr="00E3556A" w:rsidRDefault="008164D5" w:rsidP="008164D5">
            <w:pPr>
              <w:ind w:left="74" w:right="118"/>
              <w:jc w:val="both"/>
              <w:rPr>
                <w:sz w:val="28"/>
                <w:szCs w:val="28"/>
              </w:rPr>
            </w:pPr>
            <w:r w:rsidRPr="00E3556A">
              <w:rPr>
                <w:sz w:val="28"/>
                <w:szCs w:val="28"/>
                <w:lang w:val="ru-RU"/>
              </w:rPr>
              <w:t xml:space="preserve">Кодекс </w:t>
            </w:r>
            <w:proofErr w:type="spellStart"/>
            <w:r w:rsidRPr="00E3556A">
              <w:rPr>
                <w:sz w:val="28"/>
                <w:szCs w:val="28"/>
                <w:lang w:val="ru-RU"/>
              </w:rPr>
              <w:t>законів</w:t>
            </w:r>
            <w:proofErr w:type="spellEnd"/>
            <w:r w:rsidRPr="00E3556A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E3556A">
              <w:rPr>
                <w:sz w:val="28"/>
                <w:szCs w:val="28"/>
                <w:lang w:val="ru-RU"/>
              </w:rPr>
              <w:t>працю</w:t>
            </w:r>
            <w:proofErr w:type="spellEnd"/>
            <w:r w:rsidRPr="00E355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556A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E3556A">
              <w:rPr>
                <w:sz w:val="28"/>
                <w:szCs w:val="28"/>
                <w:lang w:val="ru-RU"/>
              </w:rPr>
              <w:t>;</w:t>
            </w:r>
          </w:p>
          <w:p w:rsidR="008164D5" w:rsidRPr="00E3556A" w:rsidRDefault="008164D5" w:rsidP="008164D5">
            <w:pPr>
              <w:ind w:left="74" w:right="118"/>
              <w:jc w:val="both"/>
              <w:rPr>
                <w:sz w:val="28"/>
                <w:szCs w:val="28"/>
              </w:rPr>
            </w:pPr>
            <w:r w:rsidRPr="00E3556A">
              <w:rPr>
                <w:sz w:val="28"/>
                <w:szCs w:val="28"/>
              </w:rPr>
              <w:t xml:space="preserve">Закон України </w:t>
            </w:r>
            <w:r w:rsidRPr="00E3556A">
              <w:rPr>
                <w:sz w:val="28"/>
                <w:szCs w:val="28"/>
                <w:lang w:val="ru-RU"/>
              </w:rPr>
              <w:t>“</w:t>
            </w:r>
            <w:r w:rsidRPr="00E3556A">
              <w:rPr>
                <w:sz w:val="28"/>
                <w:szCs w:val="28"/>
              </w:rPr>
              <w:t>Про бухгалтерський облік та фінансову звітність в Україні</w:t>
            </w:r>
            <w:r w:rsidRPr="00E3556A">
              <w:rPr>
                <w:sz w:val="28"/>
                <w:szCs w:val="28"/>
                <w:lang w:val="ru-RU"/>
              </w:rPr>
              <w:t>”</w:t>
            </w:r>
            <w:r w:rsidRPr="00E3556A">
              <w:rPr>
                <w:sz w:val="28"/>
                <w:szCs w:val="28"/>
              </w:rPr>
              <w:t>;</w:t>
            </w:r>
          </w:p>
          <w:p w:rsidR="008164D5" w:rsidRPr="00E3556A" w:rsidRDefault="007F67C8" w:rsidP="008164D5">
            <w:pPr>
              <w:ind w:left="74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164D5" w:rsidRPr="00E3556A">
              <w:rPr>
                <w:sz w:val="28"/>
                <w:szCs w:val="28"/>
                <w:lang w:val="ru-RU"/>
              </w:rPr>
              <w:t>останов</w:t>
            </w:r>
            <w:r>
              <w:rPr>
                <w:sz w:val="28"/>
                <w:szCs w:val="28"/>
                <w:lang w:val="ru-RU"/>
              </w:rPr>
              <w:t>а</w:t>
            </w:r>
            <w:r w:rsidR="008164D5" w:rsidRPr="00E355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164D5" w:rsidRPr="00E3556A">
              <w:rPr>
                <w:sz w:val="28"/>
                <w:szCs w:val="28"/>
                <w:lang w:val="ru-RU"/>
              </w:rPr>
              <w:t>Кабінету</w:t>
            </w:r>
            <w:proofErr w:type="spellEnd"/>
            <w:r w:rsidR="008164D5" w:rsidRPr="00E355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164D5" w:rsidRPr="00E3556A">
              <w:rPr>
                <w:sz w:val="28"/>
                <w:szCs w:val="28"/>
                <w:lang w:val="ru-RU"/>
              </w:rPr>
              <w:t>Міністрів</w:t>
            </w:r>
            <w:proofErr w:type="spellEnd"/>
            <w:r w:rsidR="008164D5" w:rsidRPr="00E355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164D5" w:rsidRPr="00E3556A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="008164D5" w:rsidRPr="00E3556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164D5" w:rsidRPr="00E3556A">
              <w:rPr>
                <w:sz w:val="28"/>
                <w:szCs w:val="28"/>
                <w:lang w:val="ru-RU"/>
              </w:rPr>
              <w:t>від</w:t>
            </w:r>
            <w:proofErr w:type="spellEnd"/>
            <w:r w:rsidR="008164D5" w:rsidRPr="00E3556A">
              <w:rPr>
                <w:sz w:val="28"/>
                <w:szCs w:val="28"/>
                <w:lang w:val="ru-RU"/>
              </w:rPr>
              <w:t xml:space="preserve"> 26.01.2011 № 59 “</w:t>
            </w:r>
            <w:r w:rsidR="008164D5" w:rsidRPr="00E3556A">
              <w:rPr>
                <w:sz w:val="28"/>
                <w:szCs w:val="28"/>
              </w:rPr>
              <w:t xml:space="preserve">Про затвердження </w:t>
            </w:r>
            <w:r w:rsidR="008164D5" w:rsidRPr="00E3556A">
              <w:rPr>
                <w:sz w:val="28"/>
                <w:szCs w:val="28"/>
                <w:lang w:val="ru-RU"/>
              </w:rPr>
              <w:t xml:space="preserve">Типового </w:t>
            </w:r>
            <w:proofErr w:type="spellStart"/>
            <w:r w:rsidR="008164D5" w:rsidRPr="00E3556A">
              <w:rPr>
                <w:sz w:val="28"/>
                <w:szCs w:val="28"/>
                <w:lang w:val="ru-RU"/>
              </w:rPr>
              <w:t>Положення</w:t>
            </w:r>
            <w:proofErr w:type="spellEnd"/>
            <w:r w:rsidR="008164D5" w:rsidRPr="00E3556A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="008164D5" w:rsidRPr="00E3556A">
              <w:rPr>
                <w:sz w:val="28"/>
                <w:szCs w:val="28"/>
                <w:lang w:val="ru-RU"/>
              </w:rPr>
              <w:t>бухгалтерську</w:t>
            </w:r>
            <w:proofErr w:type="spellEnd"/>
            <w:r w:rsidR="008164D5" w:rsidRPr="00E3556A">
              <w:rPr>
                <w:sz w:val="28"/>
                <w:szCs w:val="28"/>
                <w:lang w:val="ru-RU"/>
              </w:rPr>
              <w:t xml:space="preserve"> службу </w:t>
            </w:r>
            <w:proofErr w:type="spellStart"/>
            <w:r w:rsidR="008164D5" w:rsidRPr="00E3556A">
              <w:rPr>
                <w:sz w:val="28"/>
                <w:szCs w:val="28"/>
                <w:lang w:val="ru-RU"/>
              </w:rPr>
              <w:t>бюджетної</w:t>
            </w:r>
            <w:proofErr w:type="spellEnd"/>
            <w:r w:rsidR="008164D5" w:rsidRPr="00E3556A">
              <w:rPr>
                <w:sz w:val="28"/>
                <w:szCs w:val="28"/>
                <w:lang w:val="ru-RU"/>
              </w:rPr>
              <w:t xml:space="preserve"> установи”;</w:t>
            </w:r>
          </w:p>
          <w:p w:rsidR="008164D5" w:rsidRPr="005556CB" w:rsidRDefault="008164D5" w:rsidP="007F67C8">
            <w:pPr>
              <w:ind w:left="126" w:right="104"/>
              <w:jc w:val="both"/>
              <w:rPr>
                <w:sz w:val="28"/>
                <w:szCs w:val="28"/>
              </w:rPr>
            </w:pPr>
            <w:r w:rsidRPr="00E3556A">
              <w:rPr>
                <w:bCs/>
                <w:sz w:val="28"/>
                <w:szCs w:val="28"/>
              </w:rPr>
              <w:t>Поряд</w:t>
            </w:r>
            <w:r w:rsidR="007F67C8">
              <w:rPr>
                <w:bCs/>
                <w:sz w:val="28"/>
                <w:szCs w:val="28"/>
              </w:rPr>
              <w:t>о</w:t>
            </w:r>
            <w:r w:rsidRPr="00E3556A">
              <w:rPr>
                <w:bCs/>
                <w:sz w:val="28"/>
                <w:szCs w:val="28"/>
              </w:rPr>
              <w:t>к казначейського обслуговування державного бюджету за витратами, затвердженого наказом Міністерства фінансів України від 24.12.2012 № 1407, зареєстрованого в Міністер</w:t>
            </w:r>
            <w:r w:rsidR="00ED71EA">
              <w:rPr>
                <w:bCs/>
                <w:sz w:val="28"/>
                <w:szCs w:val="28"/>
              </w:rPr>
              <w:t xml:space="preserve">стві юстиції України                          17 січня </w:t>
            </w:r>
            <w:r w:rsidRPr="00E3556A">
              <w:rPr>
                <w:bCs/>
                <w:sz w:val="28"/>
                <w:szCs w:val="28"/>
              </w:rPr>
              <w:t>2013</w:t>
            </w:r>
            <w:r w:rsidR="00ED71EA">
              <w:rPr>
                <w:bCs/>
                <w:sz w:val="28"/>
                <w:szCs w:val="28"/>
              </w:rPr>
              <w:t xml:space="preserve"> р.</w:t>
            </w:r>
            <w:r w:rsidRPr="00E3556A">
              <w:rPr>
                <w:bCs/>
                <w:sz w:val="28"/>
                <w:szCs w:val="28"/>
              </w:rPr>
              <w:t xml:space="preserve"> </w:t>
            </w:r>
            <w:r w:rsidR="002C2489">
              <w:rPr>
                <w:bCs/>
                <w:sz w:val="28"/>
                <w:szCs w:val="28"/>
              </w:rPr>
              <w:t xml:space="preserve">за № 130/22662; </w:t>
            </w:r>
            <w:r w:rsidR="002C2489"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постанов</w:t>
            </w:r>
            <w:r w:rsidR="002C248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2C2489"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C2489" w:rsidRPr="00BA1B5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Кабінету Міністрів України від</w:t>
            </w:r>
            <w:r w:rsidR="002C2489"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19.04.2017 № 2</w:t>
            </w:r>
            <w:r w:rsidR="002C2489"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75 </w:t>
            </w:r>
            <w:r w:rsidR="002C2489" w:rsidRPr="003B0EF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“</w:t>
            </w:r>
            <w:r w:rsidR="002C2489" w:rsidRPr="007639B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Про затвердження Положення про Державну екологічну </w:t>
            </w:r>
            <w:r w:rsidR="002C248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інспекцію України</w:t>
            </w:r>
            <w:r w:rsidR="002C2489">
              <w:rPr>
                <w:rFonts w:eastAsia="Times New Roman"/>
                <w:color w:val="000000" w:themeColor="text1"/>
                <w:sz w:val="28"/>
                <w:szCs w:val="28"/>
                <w:lang w:val="en-US" w:eastAsia="ru-RU"/>
              </w:rPr>
              <w:t>”</w:t>
            </w:r>
            <w:r w:rsidR="002C248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(із змінами)</w:t>
            </w:r>
            <w:r w:rsidR="002C2489" w:rsidRPr="00A505C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66013"/>
    <w:rsid w:val="00080739"/>
    <w:rsid w:val="000A2BC1"/>
    <w:rsid w:val="000A7AF0"/>
    <w:rsid w:val="000C746E"/>
    <w:rsid w:val="000D04A8"/>
    <w:rsid w:val="000E564E"/>
    <w:rsid w:val="000E6553"/>
    <w:rsid w:val="000F6F1A"/>
    <w:rsid w:val="00104699"/>
    <w:rsid w:val="001151D7"/>
    <w:rsid w:val="001247B9"/>
    <w:rsid w:val="001564DB"/>
    <w:rsid w:val="0017085F"/>
    <w:rsid w:val="00173762"/>
    <w:rsid w:val="00205534"/>
    <w:rsid w:val="00212B10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2489"/>
    <w:rsid w:val="002C66DF"/>
    <w:rsid w:val="002D1A0F"/>
    <w:rsid w:val="002D1D89"/>
    <w:rsid w:val="002D42FC"/>
    <w:rsid w:val="002E79D9"/>
    <w:rsid w:val="002F759D"/>
    <w:rsid w:val="003102A1"/>
    <w:rsid w:val="00315E53"/>
    <w:rsid w:val="003255D4"/>
    <w:rsid w:val="0032699A"/>
    <w:rsid w:val="003347F8"/>
    <w:rsid w:val="00353294"/>
    <w:rsid w:val="0035412D"/>
    <w:rsid w:val="00357165"/>
    <w:rsid w:val="00362B3B"/>
    <w:rsid w:val="003633F9"/>
    <w:rsid w:val="00371950"/>
    <w:rsid w:val="00374EF4"/>
    <w:rsid w:val="0037612E"/>
    <w:rsid w:val="00377172"/>
    <w:rsid w:val="0038737A"/>
    <w:rsid w:val="003A5617"/>
    <w:rsid w:val="003B6E85"/>
    <w:rsid w:val="00413B9D"/>
    <w:rsid w:val="00427FFD"/>
    <w:rsid w:val="0046383A"/>
    <w:rsid w:val="00471809"/>
    <w:rsid w:val="00474F76"/>
    <w:rsid w:val="0048296A"/>
    <w:rsid w:val="00482BF4"/>
    <w:rsid w:val="00485ECE"/>
    <w:rsid w:val="004A10A8"/>
    <w:rsid w:val="004A4222"/>
    <w:rsid w:val="004C5A9A"/>
    <w:rsid w:val="004E772E"/>
    <w:rsid w:val="004F5082"/>
    <w:rsid w:val="00502751"/>
    <w:rsid w:val="00515923"/>
    <w:rsid w:val="0052565F"/>
    <w:rsid w:val="00527382"/>
    <w:rsid w:val="00533387"/>
    <w:rsid w:val="005556CB"/>
    <w:rsid w:val="00571F32"/>
    <w:rsid w:val="00581919"/>
    <w:rsid w:val="00596B35"/>
    <w:rsid w:val="005A7DB4"/>
    <w:rsid w:val="005B2D8B"/>
    <w:rsid w:val="005C40EA"/>
    <w:rsid w:val="005D51C0"/>
    <w:rsid w:val="005D6F13"/>
    <w:rsid w:val="005E76F0"/>
    <w:rsid w:val="005F54D9"/>
    <w:rsid w:val="00600DCD"/>
    <w:rsid w:val="00611CB2"/>
    <w:rsid w:val="00621A9D"/>
    <w:rsid w:val="00660CB1"/>
    <w:rsid w:val="0067084B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2240D"/>
    <w:rsid w:val="0072578B"/>
    <w:rsid w:val="00736AEF"/>
    <w:rsid w:val="0073767A"/>
    <w:rsid w:val="00761D82"/>
    <w:rsid w:val="007903BF"/>
    <w:rsid w:val="007A60F6"/>
    <w:rsid w:val="007B5388"/>
    <w:rsid w:val="007C38ED"/>
    <w:rsid w:val="007D3D21"/>
    <w:rsid w:val="007F67C8"/>
    <w:rsid w:val="00805FE9"/>
    <w:rsid w:val="008164D5"/>
    <w:rsid w:val="008302FF"/>
    <w:rsid w:val="00846B87"/>
    <w:rsid w:val="00885AA9"/>
    <w:rsid w:val="00894986"/>
    <w:rsid w:val="008E3F0D"/>
    <w:rsid w:val="00910C8A"/>
    <w:rsid w:val="0091451A"/>
    <w:rsid w:val="00930C0D"/>
    <w:rsid w:val="009459F3"/>
    <w:rsid w:val="00946628"/>
    <w:rsid w:val="00955E42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A00DEC"/>
    <w:rsid w:val="00A020E8"/>
    <w:rsid w:val="00A033B1"/>
    <w:rsid w:val="00A13B42"/>
    <w:rsid w:val="00A221D7"/>
    <w:rsid w:val="00A26DF2"/>
    <w:rsid w:val="00A41D3F"/>
    <w:rsid w:val="00A730A6"/>
    <w:rsid w:val="00AA2DB6"/>
    <w:rsid w:val="00AC2D65"/>
    <w:rsid w:val="00AF7C49"/>
    <w:rsid w:val="00B107F1"/>
    <w:rsid w:val="00B1463A"/>
    <w:rsid w:val="00B21F1E"/>
    <w:rsid w:val="00B52F7E"/>
    <w:rsid w:val="00B572F5"/>
    <w:rsid w:val="00BC20A1"/>
    <w:rsid w:val="00BD34FE"/>
    <w:rsid w:val="00BD7985"/>
    <w:rsid w:val="00BE55EF"/>
    <w:rsid w:val="00C03EE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52FD6"/>
    <w:rsid w:val="00D7415D"/>
    <w:rsid w:val="00D75D68"/>
    <w:rsid w:val="00D8100A"/>
    <w:rsid w:val="00D93CA1"/>
    <w:rsid w:val="00DA35F1"/>
    <w:rsid w:val="00DA4AE9"/>
    <w:rsid w:val="00DB6E65"/>
    <w:rsid w:val="00DF5B00"/>
    <w:rsid w:val="00E0224B"/>
    <w:rsid w:val="00E036CF"/>
    <w:rsid w:val="00E254F2"/>
    <w:rsid w:val="00E3110A"/>
    <w:rsid w:val="00E3556A"/>
    <w:rsid w:val="00E70998"/>
    <w:rsid w:val="00E93E23"/>
    <w:rsid w:val="00E96A38"/>
    <w:rsid w:val="00E97C71"/>
    <w:rsid w:val="00EA250D"/>
    <w:rsid w:val="00EA4331"/>
    <w:rsid w:val="00EA6A0D"/>
    <w:rsid w:val="00EC3C05"/>
    <w:rsid w:val="00EC645A"/>
    <w:rsid w:val="00ED5A98"/>
    <w:rsid w:val="00ED71EA"/>
    <w:rsid w:val="00EF38B9"/>
    <w:rsid w:val="00F019B7"/>
    <w:rsid w:val="00F04E30"/>
    <w:rsid w:val="00F1217E"/>
    <w:rsid w:val="00F34A1C"/>
    <w:rsid w:val="00F37D37"/>
    <w:rsid w:val="00F4441F"/>
    <w:rsid w:val="00F7312D"/>
    <w:rsid w:val="00F74770"/>
    <w:rsid w:val="00FA5944"/>
    <w:rsid w:val="00FD3C61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6254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4573-3C7C-481D-9A11-A24BF465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5501</Words>
  <Characters>3137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Zolotorenco</cp:lastModifiedBy>
  <cp:revision>7</cp:revision>
  <cp:lastPrinted>2021-06-17T14:20:00Z</cp:lastPrinted>
  <dcterms:created xsi:type="dcterms:W3CDTF">2021-06-17T13:45:00Z</dcterms:created>
  <dcterms:modified xsi:type="dcterms:W3CDTF">2021-06-23T13:23:00Z</dcterms:modified>
</cp:coreProperties>
</file>