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761"/>
        <w:gridCol w:w="5103"/>
      </w:tblGrid>
      <w:tr w:rsidR="004A10A8" w:rsidRPr="00A730A6" w:rsidTr="00DF3D1B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5059" w:rsidRDefault="009E5059" w:rsidP="009E5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9E5059" w:rsidRDefault="009E5059" w:rsidP="009E5059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9E5059" w:rsidRDefault="009E5059" w:rsidP="009E5059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29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 жовтня 2021 р. № </w:t>
            </w:r>
            <w:r>
              <w:rPr>
                <w:rStyle w:val="rvts15"/>
                <w:sz w:val="28"/>
                <w:szCs w:val="28"/>
                <w:lang w:eastAsia="en-US"/>
              </w:rPr>
              <w:t>468</w:t>
            </w:r>
          </w:p>
          <w:p w:rsidR="00217B63" w:rsidRPr="00A730A6" w:rsidRDefault="00217B63" w:rsidP="00217B63">
            <w:pPr>
              <w:ind w:right="32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DF3D1B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5F714C">
        <w:rPr>
          <w:rFonts w:eastAsia="Times New Roman"/>
          <w:snapToGrid w:val="0"/>
          <w:sz w:val="28"/>
          <w:szCs w:val="28"/>
        </w:rPr>
        <w:t>Б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F3D1B">
        <w:rPr>
          <w:rFonts w:eastAsia="Times New Roman"/>
          <w:snapToGrid w:val="0"/>
          <w:sz w:val="28"/>
          <w:szCs w:val="28"/>
        </w:rPr>
        <w:t>заступника начальника Відділу правового забезпечення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5556CB" w:rsidRPr="00A730A6" w:rsidTr="00455909">
        <w:tc>
          <w:tcPr>
            <w:tcW w:w="10486" w:type="dxa"/>
            <w:gridSpan w:val="3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455909">
        <w:tc>
          <w:tcPr>
            <w:tcW w:w="3539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E305C5" w:rsidRPr="00217B63" w:rsidRDefault="00217B63" w:rsidP="00217B63">
            <w:pPr>
              <w:pStyle w:val="ab"/>
              <w:numPr>
                <w:ilvl w:val="0"/>
                <w:numId w:val="13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 w:rsidRPr="00217B63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організація правової роботи, спрямованої на правильне застосування, неухильне дотримання та запобіганню невиконанню вимог законодавства, інших нормативно-правових актів</w:t>
            </w:r>
            <w:r w:rsidR="00455909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55909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217B63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ержекоінспекцією</w:t>
            </w:r>
            <w:proofErr w:type="spellEnd"/>
            <w:r w:rsidRPr="00217B63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,  </w:t>
            </w:r>
            <w:r w:rsidRPr="00217B63">
              <w:rPr>
                <w:rFonts w:eastAsia="Times New Roman"/>
                <w:sz w:val="28"/>
                <w:szCs w:val="28"/>
                <w:lang w:eastAsia="ru-RU"/>
              </w:rPr>
              <w:t xml:space="preserve">під час виконання покладених на нею завдань і функціональних обов'язків, а також представлення інтересів </w:t>
            </w:r>
            <w:proofErr w:type="spellStart"/>
            <w:r w:rsidRPr="00217B63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217B63">
              <w:rPr>
                <w:rFonts w:eastAsia="Times New Roman"/>
                <w:sz w:val="28"/>
                <w:szCs w:val="28"/>
                <w:lang w:eastAsia="ru-RU"/>
              </w:rPr>
              <w:t xml:space="preserve"> в судах;</w:t>
            </w:r>
          </w:p>
          <w:p w:rsidR="00217B63" w:rsidRPr="00217B63" w:rsidRDefault="00217B63" w:rsidP="00217B63">
            <w:pPr>
              <w:pStyle w:val="ab"/>
              <w:numPr>
                <w:ilvl w:val="0"/>
                <w:numId w:val="13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7B63">
              <w:rPr>
                <w:sz w:val="28"/>
                <w:szCs w:val="28"/>
              </w:rPr>
              <w:t xml:space="preserve">рганізовує та бере участь разом з іншими структурними підрозділами </w:t>
            </w:r>
            <w:proofErr w:type="spellStart"/>
            <w:r w:rsidRPr="00217B63">
              <w:rPr>
                <w:sz w:val="28"/>
                <w:szCs w:val="28"/>
              </w:rPr>
              <w:t>Держекоінспекції</w:t>
            </w:r>
            <w:proofErr w:type="spellEnd"/>
            <w:r w:rsidRPr="00217B63">
              <w:rPr>
                <w:sz w:val="28"/>
                <w:szCs w:val="28"/>
              </w:rPr>
              <w:t xml:space="preserve"> у забезпеченні реалізації державної правової політики із здійснення державного нагляду (контролю) у сфері охорони навколишнього природного середовища, раціонального використання і відтворення і охорони природних ресурсів, а також внесення пропозицій щодо її формування;</w:t>
            </w:r>
          </w:p>
          <w:p w:rsidR="00217B63" w:rsidRPr="00217B63" w:rsidRDefault="00217B63" w:rsidP="00217B63">
            <w:pPr>
              <w:pStyle w:val="ab"/>
              <w:numPr>
                <w:ilvl w:val="0"/>
                <w:numId w:val="13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17B63">
              <w:rPr>
                <w:rFonts w:eastAsia="Times New Roman"/>
                <w:sz w:val="28"/>
                <w:szCs w:val="28"/>
                <w:lang w:eastAsia="ru-RU"/>
              </w:rPr>
              <w:t xml:space="preserve">еревіряє відповідність законодавству і міжнародним договорам України проектів наказів та інших актів, що подаються на підпис Голові </w:t>
            </w:r>
            <w:proofErr w:type="spellStart"/>
            <w:r w:rsidRPr="00217B63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217B63">
              <w:rPr>
                <w:rFonts w:eastAsia="Times New Roman"/>
                <w:sz w:val="28"/>
                <w:szCs w:val="28"/>
                <w:lang w:eastAsia="ru-RU"/>
              </w:rPr>
              <w:t>, погоджує (візує) їх за відсутності начальника Відділу правового забезпечення та за наявності віз керівників заінтересованих структурних підрозділів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17B63" w:rsidRPr="00217B63" w:rsidRDefault="00217B63" w:rsidP="00217B63">
            <w:pPr>
              <w:pStyle w:val="ab"/>
              <w:numPr>
                <w:ilvl w:val="0"/>
                <w:numId w:val="13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217B63">
              <w:rPr>
                <w:rFonts w:eastAsia="Times New Roman"/>
                <w:sz w:val="28"/>
                <w:szCs w:val="28"/>
                <w:lang w:eastAsia="ru-RU"/>
              </w:rPr>
              <w:t>прияє правильному застосуванню актів законодавства про працю, у разі невиконання або порушення їх вимог подає начальнику відділу правового забезпечення письмовий висновок з пропозиціями щодо усунення таких порушень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17B63" w:rsidRPr="00217B63" w:rsidRDefault="00217B63" w:rsidP="00217B63">
            <w:pPr>
              <w:pStyle w:val="ab"/>
              <w:numPr>
                <w:ilvl w:val="0"/>
                <w:numId w:val="13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17B63">
              <w:rPr>
                <w:rFonts w:eastAsia="Times New Roman"/>
                <w:sz w:val="28"/>
                <w:szCs w:val="28"/>
                <w:lang w:eastAsia="ru-RU"/>
              </w:rPr>
              <w:t xml:space="preserve">еревіряє стан правової роботи в територіальних та міжрегіональних територіальних органів </w:t>
            </w:r>
            <w:proofErr w:type="spellStart"/>
            <w:r w:rsidRPr="00217B63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17B63" w:rsidRPr="00217B63" w:rsidRDefault="00217B63" w:rsidP="00217B63">
            <w:pPr>
              <w:pStyle w:val="ab"/>
              <w:numPr>
                <w:ilvl w:val="0"/>
                <w:numId w:val="13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17B63">
              <w:rPr>
                <w:sz w:val="28"/>
                <w:szCs w:val="28"/>
              </w:rPr>
              <w:t xml:space="preserve">ере участь у підготовці договорів (контрактів) та здійсненні заходів, спрямованих на виконання договірних зобов’язань, забезпеченні захисту майнових </w:t>
            </w:r>
            <w:r w:rsidRPr="00217B63">
              <w:rPr>
                <w:sz w:val="28"/>
                <w:szCs w:val="28"/>
              </w:rPr>
              <w:lastRenderedPageBreak/>
              <w:t xml:space="preserve">прав і законних інтересів </w:t>
            </w:r>
            <w:proofErr w:type="spellStart"/>
            <w:r w:rsidRPr="00217B63">
              <w:rPr>
                <w:sz w:val="28"/>
                <w:szCs w:val="28"/>
              </w:rPr>
              <w:t>Держекоінспекції</w:t>
            </w:r>
            <w:proofErr w:type="spellEnd"/>
            <w:r w:rsidRPr="00217B63">
              <w:rPr>
                <w:sz w:val="28"/>
                <w:szCs w:val="28"/>
              </w:rPr>
              <w:t>, погоджує проекти договорів (контрактів) за відсутності начальника Відділу правового забезпечення та за наявності погодження (віз) керівників заінтере</w:t>
            </w:r>
            <w:r>
              <w:rPr>
                <w:sz w:val="28"/>
                <w:szCs w:val="28"/>
              </w:rPr>
              <w:t>сованих структурних підрозділів;</w:t>
            </w:r>
          </w:p>
          <w:p w:rsidR="00217B63" w:rsidRPr="00217B63" w:rsidRDefault="00217B63" w:rsidP="00217B63">
            <w:pPr>
              <w:pStyle w:val="ab"/>
              <w:numPr>
                <w:ilvl w:val="0"/>
                <w:numId w:val="13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17B63">
              <w:rPr>
                <w:sz w:val="28"/>
                <w:szCs w:val="28"/>
              </w:rPr>
              <w:t>озглядає звернення громадян, звернення та запити народних депутатів України з питань, що належать до компетенції Відділу правового забезпечення.</w:t>
            </w:r>
          </w:p>
        </w:tc>
      </w:tr>
      <w:tr w:rsidR="005556CB" w:rsidRPr="005556CB" w:rsidTr="00455909">
        <w:tc>
          <w:tcPr>
            <w:tcW w:w="3539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E43EA6">
            <w:pPr>
              <w:ind w:left="11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DF3D1B">
              <w:rPr>
                <w:sz w:val="28"/>
                <w:szCs w:val="28"/>
                <w:shd w:val="clear" w:color="auto" w:fill="FFFFFF"/>
              </w:rPr>
              <w:t>д – 116</w:t>
            </w:r>
            <w:r w:rsidR="005F714C">
              <w:rPr>
                <w:sz w:val="28"/>
                <w:szCs w:val="28"/>
                <w:shd w:val="clear" w:color="auto" w:fill="FFFFFF"/>
              </w:rPr>
              <w:t>0</w:t>
            </w:r>
            <w:r w:rsidRPr="003B6E85">
              <w:rPr>
                <w:sz w:val="28"/>
                <w:szCs w:val="28"/>
                <w:shd w:val="clear" w:color="auto" w:fill="FFFFFF"/>
              </w:rPr>
              <w:t>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E43EA6">
            <w:pPr>
              <w:ind w:left="12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455909">
        <w:tc>
          <w:tcPr>
            <w:tcW w:w="3539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3D2930" w:rsidRPr="003D2930" w:rsidRDefault="003D2930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E43EA6">
            <w:pPr>
              <w:ind w:left="12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455909">
        <w:tc>
          <w:tcPr>
            <w:tcW w:w="3539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B62593" w:rsidRDefault="002523DB" w:rsidP="00601E0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  <w:r w:rsidR="00601E0E">
              <w:rPr>
                <w:sz w:val="28"/>
                <w:szCs w:val="28"/>
                <w:lang w:val="ru-RU"/>
              </w:rPr>
              <w:t xml:space="preserve"> </w:t>
            </w:r>
          </w:p>
          <w:p w:rsidR="00C43185" w:rsidRDefault="00C43185" w:rsidP="00B62593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B62593">
              <w:rPr>
                <w:sz w:val="28"/>
                <w:szCs w:val="28"/>
              </w:rPr>
              <w:t>язковою</w:t>
            </w:r>
            <w:proofErr w:type="spellEnd"/>
            <w:r w:rsidR="00B62593" w:rsidRPr="00B62593">
              <w:rPr>
                <w:sz w:val="28"/>
                <w:szCs w:val="28"/>
                <w:lang w:val="ru-RU"/>
              </w:rPr>
              <w:t>;</w:t>
            </w:r>
          </w:p>
          <w:p w:rsidR="00A21D18" w:rsidRPr="00A21D18" w:rsidRDefault="00B62593" w:rsidP="00B62593">
            <w:pPr>
              <w:ind w:left="122" w:right="128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  <w:shd w:val="clear" w:color="auto" w:fill="FFFFFF"/>
              </w:rPr>
              <w:t>3</w:t>
            </w:r>
            <w:r w:rsidRPr="00F81E67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81E67">
              <w:rPr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17B63">
              <w:rPr>
                <w:sz w:val="28"/>
                <w:szCs w:val="28"/>
                <w:shd w:val="clear" w:color="auto" w:fill="FFFFFF"/>
              </w:rPr>
              <w:t>копія</w:t>
            </w:r>
            <w:r w:rsidR="00A21D18"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</w:t>
            </w:r>
            <w:r w:rsidR="00A21D18" w:rsidRPr="00A21D18">
              <w:rPr>
                <w:sz w:val="28"/>
                <w:szCs w:val="28"/>
                <w:shd w:val="clear" w:color="auto" w:fill="FFFFFF"/>
              </w:rPr>
              <w:lastRenderedPageBreak/>
              <w:t>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ED64FB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E7899">
              <w:rPr>
                <w:sz w:val="28"/>
                <w:szCs w:val="28"/>
              </w:rPr>
              <w:t xml:space="preserve">Інформація приймається </w:t>
            </w:r>
            <w:r w:rsidR="00DF3D1B" w:rsidRPr="00374656">
              <w:rPr>
                <w:sz w:val="28"/>
                <w:szCs w:val="28"/>
              </w:rPr>
              <w:t xml:space="preserve">до </w:t>
            </w:r>
            <w:r w:rsidR="00DF3D1B">
              <w:rPr>
                <w:sz w:val="28"/>
                <w:szCs w:val="28"/>
              </w:rPr>
              <w:t>15</w:t>
            </w:r>
            <w:r w:rsidR="00DF3D1B" w:rsidRPr="00374656">
              <w:rPr>
                <w:sz w:val="28"/>
                <w:szCs w:val="28"/>
              </w:rPr>
              <w:t xml:space="preserve"> год. </w:t>
            </w:r>
            <w:r w:rsidR="00DF3D1B">
              <w:rPr>
                <w:sz w:val="28"/>
                <w:szCs w:val="28"/>
              </w:rPr>
              <w:t>45</w:t>
            </w:r>
            <w:r w:rsidR="00DF3D1B" w:rsidRPr="00374656">
              <w:rPr>
                <w:sz w:val="28"/>
                <w:szCs w:val="28"/>
              </w:rPr>
              <w:t xml:space="preserve"> хв. </w:t>
            </w:r>
            <w:r w:rsidR="00ED64FB">
              <w:rPr>
                <w:sz w:val="28"/>
                <w:szCs w:val="28"/>
              </w:rPr>
              <w:t xml:space="preserve">                                      05 листопада </w:t>
            </w:r>
            <w:r w:rsidR="00DF3D1B" w:rsidRPr="00374656">
              <w:rPr>
                <w:sz w:val="28"/>
                <w:szCs w:val="28"/>
              </w:rPr>
              <w:t>2021 року</w:t>
            </w:r>
          </w:p>
        </w:tc>
      </w:tr>
      <w:tr w:rsidR="005556CB" w:rsidRPr="005556CB" w:rsidTr="00455909">
        <w:tc>
          <w:tcPr>
            <w:tcW w:w="3539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455909">
        <w:trPr>
          <w:trHeight w:val="4375"/>
        </w:trPr>
        <w:tc>
          <w:tcPr>
            <w:tcW w:w="3539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2523DB" w:rsidRPr="005556CB" w:rsidRDefault="00ED64FB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листопада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01E0E" w:rsidRPr="00601E0E" w:rsidRDefault="00601E0E" w:rsidP="00601E0E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 w:rsidR="00F66B2D"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01E0E" w:rsidRDefault="00601E0E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601E0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455909">
        <w:tc>
          <w:tcPr>
            <w:tcW w:w="3539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601E0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455909">
        <w:trPr>
          <w:trHeight w:val="2215"/>
        </w:trPr>
        <w:tc>
          <w:tcPr>
            <w:tcW w:w="3539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601E0E" w:rsidRPr="005556CB" w:rsidRDefault="00601E0E" w:rsidP="00601E0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601E0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455909">
        <w:tc>
          <w:tcPr>
            <w:tcW w:w="10486" w:type="dxa"/>
            <w:gridSpan w:val="3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455909"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120902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в галузі знань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601E0E" w:rsidRPr="005556CB" w:rsidTr="00455909"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5F714C" w:rsidP="005F714C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Б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чи </w:t>
            </w:r>
            <w:r w:rsidRPr="005F714C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В</w:t>
            </w:r>
            <w:r w:rsidRPr="005F714C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601E0E" w:rsidRPr="005556CB" w:rsidTr="00455909"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455909"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455909">
        <w:tc>
          <w:tcPr>
            <w:tcW w:w="10486" w:type="dxa"/>
            <w:gridSpan w:val="3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455909">
        <w:tc>
          <w:tcPr>
            <w:tcW w:w="3539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BA7308" w:rsidRPr="005556CB" w:rsidTr="00455909">
        <w:tc>
          <w:tcPr>
            <w:tcW w:w="523" w:type="dxa"/>
          </w:tcPr>
          <w:p w:rsidR="00BA7308" w:rsidRPr="005556CB" w:rsidRDefault="00BA7308" w:rsidP="00BA73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BA7308" w:rsidRPr="005B579B" w:rsidRDefault="00BA7308" w:rsidP="009E5059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BA7308" w:rsidRPr="005B579B" w:rsidRDefault="00BA7308" w:rsidP="00BA730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5B579B">
              <w:rPr>
                <w:sz w:val="28"/>
                <w:szCs w:val="28"/>
                <w:lang w:val="ru-RU"/>
              </w:rPr>
              <w:t>;</w:t>
            </w:r>
          </w:p>
          <w:p w:rsidR="00BA7308" w:rsidRPr="005B579B" w:rsidRDefault="00BA7308" w:rsidP="00BA7308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5B57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5B57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5B579B">
              <w:rPr>
                <w:sz w:val="28"/>
                <w:szCs w:val="28"/>
                <w:lang w:val="en-US"/>
              </w:rPr>
              <w:t>;</w:t>
            </w:r>
          </w:p>
          <w:p w:rsidR="00BA7308" w:rsidRPr="005B579B" w:rsidRDefault="00BA7308" w:rsidP="00BA730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5B579B">
              <w:rPr>
                <w:sz w:val="28"/>
                <w:szCs w:val="28"/>
              </w:rPr>
              <w:t>- спроможність іти на виважений ризик</w:t>
            </w:r>
            <w:r w:rsidRPr="005B579B">
              <w:rPr>
                <w:sz w:val="28"/>
                <w:szCs w:val="28"/>
                <w:lang w:val="ru-RU"/>
              </w:rPr>
              <w:t>;</w:t>
            </w:r>
          </w:p>
          <w:p w:rsidR="00BA7308" w:rsidRPr="005B579B" w:rsidRDefault="00BA7308" w:rsidP="00BA7308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5B57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5B57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B57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BA7308" w:rsidRPr="005556CB" w:rsidTr="00455909">
        <w:tc>
          <w:tcPr>
            <w:tcW w:w="523" w:type="dxa"/>
          </w:tcPr>
          <w:p w:rsidR="00BA7308" w:rsidRPr="005556CB" w:rsidRDefault="00BA7308" w:rsidP="00BA73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BA7308" w:rsidRPr="005B579B" w:rsidRDefault="00BA7308" w:rsidP="009E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6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BA7308" w:rsidRPr="005B579B" w:rsidRDefault="00BA7308" w:rsidP="00BA73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BA7308" w:rsidRPr="005B579B" w:rsidRDefault="00BA7308" w:rsidP="00BA73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BA7308" w:rsidRPr="005B579B" w:rsidRDefault="00BA7308" w:rsidP="00BA73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A7308" w:rsidRPr="005556CB" w:rsidTr="00455909">
        <w:trPr>
          <w:trHeight w:val="43"/>
        </w:trPr>
        <w:tc>
          <w:tcPr>
            <w:tcW w:w="523" w:type="dxa"/>
          </w:tcPr>
          <w:p w:rsidR="00BA7308" w:rsidRPr="00106BB1" w:rsidRDefault="00BA7308" w:rsidP="00BA73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BA7308" w:rsidRPr="005B579B" w:rsidRDefault="00BA7308" w:rsidP="009E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6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Обґрунтування власної позиції</w:t>
            </w:r>
          </w:p>
        </w:tc>
        <w:tc>
          <w:tcPr>
            <w:tcW w:w="6947" w:type="dxa"/>
          </w:tcPr>
          <w:p w:rsidR="00BA7308" w:rsidRPr="005B579B" w:rsidRDefault="00BA7308" w:rsidP="00BA73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здатність правильно розставляти акценти та аргументувати позицію;</w:t>
            </w:r>
          </w:p>
          <w:p w:rsidR="00BA7308" w:rsidRPr="005B579B" w:rsidRDefault="00BA7308" w:rsidP="00BA7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5B579B">
              <w:rPr>
                <w:rFonts w:eastAsia="Times New Roman"/>
                <w:sz w:val="28"/>
                <w:szCs w:val="28"/>
              </w:rPr>
              <w:t>вміння правильно формулювати тези;</w:t>
            </w:r>
          </w:p>
          <w:p w:rsidR="00BA7308" w:rsidRPr="005B579B" w:rsidRDefault="00BA7308" w:rsidP="00BA73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вміння використовувати прийоми, методи порівняння і узагальнення, доведення аргументів прикладами</w:t>
            </w:r>
          </w:p>
        </w:tc>
      </w:tr>
      <w:tr w:rsidR="00BA7308" w:rsidRPr="005556CB" w:rsidTr="00455909">
        <w:tc>
          <w:tcPr>
            <w:tcW w:w="523" w:type="dxa"/>
          </w:tcPr>
          <w:p w:rsidR="00BA7308" w:rsidRPr="005556CB" w:rsidRDefault="00BA7308" w:rsidP="00BA73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BA7308" w:rsidRPr="005B579B" w:rsidRDefault="00BA7308" w:rsidP="009E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6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BA7308" w:rsidRPr="005B579B" w:rsidRDefault="00BA7308" w:rsidP="00BA73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A7308" w:rsidRPr="005B579B" w:rsidRDefault="00BA7308" w:rsidP="00BA73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 xml:space="preserve">усвідомлення рівня відповідальності під час підготовки і прийняття рішень, готовність нести </w:t>
            </w:r>
            <w:r w:rsidRPr="005B579B">
              <w:rPr>
                <w:rFonts w:eastAsia="Times New Roman"/>
                <w:sz w:val="28"/>
                <w:szCs w:val="28"/>
              </w:rPr>
              <w:lastRenderedPageBreak/>
              <w:t>відповідальність за можливі наслідки реалізації таких рішень;</w:t>
            </w:r>
          </w:p>
          <w:p w:rsidR="00BA7308" w:rsidRPr="005B579B" w:rsidRDefault="00BA7308" w:rsidP="00BA73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5B579B">
              <w:rPr>
                <w:rFonts w:eastAsia="Times New Roman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bookmarkEnd w:id="0"/>
      <w:tr w:rsidR="00BA7308" w:rsidRPr="005556CB" w:rsidTr="00455909">
        <w:tc>
          <w:tcPr>
            <w:tcW w:w="10486" w:type="dxa"/>
            <w:gridSpan w:val="3"/>
          </w:tcPr>
          <w:p w:rsidR="00BA7308" w:rsidRPr="005556CB" w:rsidRDefault="00BA7308" w:rsidP="00BA7308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BA7308" w:rsidRPr="005556CB" w:rsidTr="00455909">
        <w:tc>
          <w:tcPr>
            <w:tcW w:w="3539" w:type="dxa"/>
            <w:gridSpan w:val="2"/>
          </w:tcPr>
          <w:p w:rsidR="00BA7308" w:rsidRPr="005556CB" w:rsidRDefault="00BA7308" w:rsidP="00BA73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BA7308" w:rsidRPr="005556CB" w:rsidRDefault="00BA7308" w:rsidP="00BA7308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BA7308" w:rsidRPr="005556CB" w:rsidTr="00455909">
        <w:tc>
          <w:tcPr>
            <w:tcW w:w="523" w:type="dxa"/>
            <w:vAlign w:val="center"/>
          </w:tcPr>
          <w:p w:rsidR="00BA7308" w:rsidRPr="005556CB" w:rsidRDefault="00BA7308" w:rsidP="00BA73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BA7308" w:rsidRPr="006C757B" w:rsidRDefault="00BA7308" w:rsidP="00BA7308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BA7308" w:rsidRPr="006C757B" w:rsidRDefault="00BA7308" w:rsidP="00BA7308">
            <w:pPr>
              <w:ind w:left="74"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Конституція України;</w:t>
            </w:r>
          </w:p>
          <w:p w:rsidR="00BA7308" w:rsidRPr="006C757B" w:rsidRDefault="00BA7308" w:rsidP="00BA7308">
            <w:pPr>
              <w:ind w:left="74"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>Закон України “Про державну службу”;</w:t>
            </w:r>
          </w:p>
          <w:p w:rsidR="00BA7308" w:rsidRPr="006C757B" w:rsidRDefault="00BA7308" w:rsidP="00BA7308">
            <w:pPr>
              <w:ind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BA7308" w:rsidRPr="006C757B" w:rsidRDefault="00BA7308" w:rsidP="00BA7308">
            <w:pPr>
              <w:ind w:right="164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BA7308" w:rsidRPr="005556CB" w:rsidTr="00455909">
        <w:tc>
          <w:tcPr>
            <w:tcW w:w="523" w:type="dxa"/>
          </w:tcPr>
          <w:p w:rsidR="00BA7308" w:rsidRPr="005556CB" w:rsidRDefault="00BA7308" w:rsidP="00BA73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BA7308" w:rsidRPr="006C757B" w:rsidRDefault="00BA7308" w:rsidP="00BA7308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</w:tcPr>
          <w:p w:rsidR="00BA7308" w:rsidRDefault="00BA7308" w:rsidP="00BA7308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BA7308" w:rsidRPr="007A2042" w:rsidRDefault="00BA7308" w:rsidP="00BA7308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Кодексу законів про працю України;</w:t>
            </w:r>
          </w:p>
          <w:p w:rsidR="00BA7308" w:rsidRPr="007A2042" w:rsidRDefault="00BA7308" w:rsidP="00BA7308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Кодексу адміністративного судочинства України;</w:t>
            </w:r>
          </w:p>
          <w:p w:rsidR="00BA7308" w:rsidRPr="007A2042" w:rsidRDefault="00BA7308" w:rsidP="00BA73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“Про центральні органи виконавчої влади”; </w:t>
            </w:r>
          </w:p>
          <w:p w:rsidR="00BA7308" w:rsidRPr="007A2042" w:rsidRDefault="00BA7308" w:rsidP="00BA730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“Про охорону навколишнього природного середовища”; </w:t>
            </w:r>
          </w:p>
          <w:p w:rsidR="00BA7308" w:rsidRPr="007A2042" w:rsidRDefault="00BA7308" w:rsidP="00BA730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BA7308" w:rsidRPr="007A2042" w:rsidRDefault="00BA7308" w:rsidP="00BA73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доступ до публічної інформації”;</w:t>
            </w:r>
          </w:p>
          <w:p w:rsidR="00BA7308" w:rsidRPr="00530898" w:rsidRDefault="00BA7308" w:rsidP="00BA73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 xml:space="preserve">Закону </w:t>
            </w:r>
            <w:r w:rsidRPr="0053089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України “Про звернення громадян”; </w:t>
            </w:r>
          </w:p>
          <w:p w:rsidR="00BA7308" w:rsidRPr="00530898" w:rsidRDefault="00BA7308" w:rsidP="00BA7308">
            <w:pPr>
              <w:tabs>
                <w:tab w:val="left" w:pos="6277"/>
              </w:tabs>
              <w:suppressAutoHyphens/>
              <w:snapToGrid w:val="0"/>
              <w:ind w:left="126" w:right="104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530898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 xml:space="preserve">постанови Кабінету Міністрів України </w:t>
            </w:r>
            <w:r w:rsidRPr="00530898">
              <w:rPr>
                <w:rFonts w:eastAsia="Times New Roman"/>
                <w:bCs/>
                <w:color w:val="000000" w:themeColor="text1"/>
                <w:sz w:val="28"/>
                <w:szCs w:val="28"/>
                <w:lang w:eastAsia="zh-CN"/>
              </w:rPr>
              <w:t>від 26.11.2008               № 1040</w:t>
            </w:r>
            <w:r w:rsidRPr="00530898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 xml:space="preserve"> “</w:t>
            </w:r>
            <w:r w:rsidRPr="00530898">
              <w:rPr>
                <w:rFonts w:eastAsia="Times New Roman"/>
                <w:bCs/>
                <w:color w:val="000000" w:themeColor="text1"/>
                <w:sz w:val="28"/>
                <w:szCs w:val="28"/>
                <w:lang w:eastAsia="zh-CN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організації” (із змінами);</w:t>
            </w:r>
          </w:p>
          <w:p w:rsidR="00BA7308" w:rsidRPr="00530898" w:rsidRDefault="00BA7308" w:rsidP="00BA7308">
            <w:pPr>
              <w:ind w:left="132" w:right="118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30898">
              <w:rPr>
                <w:color w:val="000000" w:themeColor="text1"/>
                <w:sz w:val="28"/>
                <w:szCs w:val="28"/>
              </w:rPr>
              <w:t>постанови Кабінету Міністрів України</w:t>
            </w: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від 18.07.2007                № 950 “Про затвердження Регламенту Кабінету Міністрів України”;</w:t>
            </w:r>
          </w:p>
          <w:p w:rsidR="00BA7308" w:rsidRPr="00530898" w:rsidRDefault="00BA7308" w:rsidP="00BA7308">
            <w:pPr>
              <w:ind w:left="132" w:right="118"/>
              <w:jc w:val="both"/>
              <w:rPr>
                <w:color w:val="000000" w:themeColor="text1"/>
                <w:sz w:val="28"/>
                <w:szCs w:val="28"/>
              </w:rPr>
            </w:pPr>
            <w:r w:rsidRPr="00530898">
              <w:rPr>
                <w:color w:val="000000" w:themeColor="text1"/>
                <w:sz w:val="28"/>
                <w:szCs w:val="28"/>
              </w:rPr>
              <w:t>постанови Кабінету Міністрів України</w:t>
            </w: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від 28.12.1992                № 731 “Про затвердження Положення про державну реєстрацію нормативно-правових актів міністерств та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інших органів виконавчої влади</w:t>
            </w: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”;</w:t>
            </w:r>
          </w:p>
          <w:p w:rsidR="00BA7308" w:rsidRPr="00530898" w:rsidRDefault="00BA7308" w:rsidP="00BA7308">
            <w:pPr>
              <w:ind w:left="132" w:right="104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530898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змінами);</w:t>
            </w:r>
          </w:p>
          <w:p w:rsidR="00BA7308" w:rsidRPr="00530898" w:rsidRDefault="00BA7308" w:rsidP="00632D51">
            <w:pPr>
              <w:ind w:left="132" w:right="104"/>
              <w:jc w:val="both"/>
              <w:rPr>
                <w:sz w:val="28"/>
                <w:szCs w:val="28"/>
              </w:rPr>
            </w:pP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наказу Міністерства юстиції України від 12.04.2005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53089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№ 34/5 “Про вдосконалення порядку державної реєстрації нормативно-правових актів в органах юстиції та скасування рішення про державну реєстрацію нормативно-правових актів”, зареєстрованого в Міністерстві </w:t>
            </w:r>
            <w:r w:rsidRPr="00530898"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юстиції України </w:t>
            </w:r>
            <w:r>
              <w:rPr>
                <w:rStyle w:val="rvts9"/>
                <w:bCs/>
                <w:color w:val="000000" w:themeColor="text1"/>
                <w:sz w:val="28"/>
                <w:szCs w:val="28"/>
              </w:rPr>
              <w:t>1</w:t>
            </w:r>
            <w:r w:rsidRPr="00530898"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2 </w:t>
            </w:r>
            <w:r w:rsidRPr="00E20AC5">
              <w:rPr>
                <w:rStyle w:val="rvts9"/>
                <w:bCs/>
                <w:color w:val="000000" w:themeColor="text1"/>
                <w:sz w:val="28"/>
                <w:szCs w:val="28"/>
              </w:rPr>
              <w:t>квітня</w:t>
            </w:r>
            <w:r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20AC5">
              <w:rPr>
                <w:rStyle w:val="rvts9"/>
                <w:bCs/>
                <w:color w:val="000000" w:themeColor="text1"/>
                <w:sz w:val="28"/>
                <w:szCs w:val="28"/>
              </w:rPr>
              <w:t>2005р</w:t>
            </w:r>
            <w:r w:rsidRPr="00530898">
              <w:rPr>
                <w:rStyle w:val="rvts9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Style w:val="rvts9"/>
                <w:bCs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530898">
              <w:rPr>
                <w:rStyle w:val="rvts9"/>
                <w:bCs/>
                <w:color w:val="000000" w:themeColor="text1"/>
                <w:sz w:val="28"/>
                <w:szCs w:val="28"/>
              </w:rPr>
              <w:t>за № 381/10661</w:t>
            </w:r>
            <w:r w:rsidR="00ED64FB">
              <w:rPr>
                <w:rStyle w:val="rvts9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9223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380"/>
    <w:multiLevelType w:val="hybridMultilevel"/>
    <w:tmpl w:val="F69EA4F8"/>
    <w:lvl w:ilvl="0" w:tplc="FCC4A290">
      <w:start w:val="3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848016D"/>
    <w:multiLevelType w:val="hybridMultilevel"/>
    <w:tmpl w:val="8522E452"/>
    <w:lvl w:ilvl="0" w:tplc="89B4666A">
      <w:start w:val="2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3973389D"/>
    <w:multiLevelType w:val="hybridMultilevel"/>
    <w:tmpl w:val="33CEBB26"/>
    <w:lvl w:ilvl="0" w:tplc="5978DF6E"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7645F"/>
    <w:rsid w:val="00080739"/>
    <w:rsid w:val="000840D5"/>
    <w:rsid w:val="000A2BC1"/>
    <w:rsid w:val="000A7AF0"/>
    <w:rsid w:val="000C746E"/>
    <w:rsid w:val="000D04A8"/>
    <w:rsid w:val="000D181E"/>
    <w:rsid w:val="000E6553"/>
    <w:rsid w:val="000F6F1A"/>
    <w:rsid w:val="00104699"/>
    <w:rsid w:val="001151D7"/>
    <w:rsid w:val="00120902"/>
    <w:rsid w:val="001247B9"/>
    <w:rsid w:val="001564DB"/>
    <w:rsid w:val="001607CB"/>
    <w:rsid w:val="0017085F"/>
    <w:rsid w:val="00173762"/>
    <w:rsid w:val="001779B4"/>
    <w:rsid w:val="00205534"/>
    <w:rsid w:val="00212B10"/>
    <w:rsid w:val="00217B63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14C2"/>
    <w:rsid w:val="00315E53"/>
    <w:rsid w:val="003255D4"/>
    <w:rsid w:val="0032699A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E7899"/>
    <w:rsid w:val="003F504B"/>
    <w:rsid w:val="00413B9D"/>
    <w:rsid w:val="00427FFD"/>
    <w:rsid w:val="00455909"/>
    <w:rsid w:val="0046383A"/>
    <w:rsid w:val="00471809"/>
    <w:rsid w:val="00474F76"/>
    <w:rsid w:val="0048296A"/>
    <w:rsid w:val="00482BF4"/>
    <w:rsid w:val="00485ECE"/>
    <w:rsid w:val="004A10A8"/>
    <w:rsid w:val="004C3715"/>
    <w:rsid w:val="004C5A9A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71F32"/>
    <w:rsid w:val="00581919"/>
    <w:rsid w:val="0058303B"/>
    <w:rsid w:val="00596B35"/>
    <w:rsid w:val="005A7DB4"/>
    <w:rsid w:val="005B2D8B"/>
    <w:rsid w:val="005B51A9"/>
    <w:rsid w:val="005C40EA"/>
    <w:rsid w:val="005D51C0"/>
    <w:rsid w:val="005D6F13"/>
    <w:rsid w:val="005E76F0"/>
    <w:rsid w:val="005F54D9"/>
    <w:rsid w:val="005F714C"/>
    <w:rsid w:val="00600DCD"/>
    <w:rsid w:val="00601E0E"/>
    <w:rsid w:val="00611CB2"/>
    <w:rsid w:val="00621A9D"/>
    <w:rsid w:val="00632D51"/>
    <w:rsid w:val="00660CB1"/>
    <w:rsid w:val="0067084B"/>
    <w:rsid w:val="00675C21"/>
    <w:rsid w:val="006769D9"/>
    <w:rsid w:val="00685236"/>
    <w:rsid w:val="006A396A"/>
    <w:rsid w:val="006C757B"/>
    <w:rsid w:val="006D3F25"/>
    <w:rsid w:val="006D6AC1"/>
    <w:rsid w:val="00701DC3"/>
    <w:rsid w:val="00701E9B"/>
    <w:rsid w:val="00703877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60F6"/>
    <w:rsid w:val="007B5388"/>
    <w:rsid w:val="007C38ED"/>
    <w:rsid w:val="007D3D21"/>
    <w:rsid w:val="007F67C8"/>
    <w:rsid w:val="00805FE9"/>
    <w:rsid w:val="0081247D"/>
    <w:rsid w:val="008164D5"/>
    <w:rsid w:val="008238BD"/>
    <w:rsid w:val="008302FF"/>
    <w:rsid w:val="00846B87"/>
    <w:rsid w:val="00885AA9"/>
    <w:rsid w:val="00894986"/>
    <w:rsid w:val="008B6355"/>
    <w:rsid w:val="008D1DE0"/>
    <w:rsid w:val="008E3F0D"/>
    <w:rsid w:val="00910C8A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A2491"/>
    <w:rsid w:val="009B40BE"/>
    <w:rsid w:val="009E3613"/>
    <w:rsid w:val="009E5059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D3B18"/>
    <w:rsid w:val="00AF3834"/>
    <w:rsid w:val="00AF7C49"/>
    <w:rsid w:val="00B107F1"/>
    <w:rsid w:val="00B1463A"/>
    <w:rsid w:val="00B21F1E"/>
    <w:rsid w:val="00B317A1"/>
    <w:rsid w:val="00B52F7E"/>
    <w:rsid w:val="00B572F5"/>
    <w:rsid w:val="00B62593"/>
    <w:rsid w:val="00BA7308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0DC2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3D1B"/>
    <w:rsid w:val="00DF5B00"/>
    <w:rsid w:val="00DF7C5D"/>
    <w:rsid w:val="00E0224B"/>
    <w:rsid w:val="00E036CF"/>
    <w:rsid w:val="00E04B8D"/>
    <w:rsid w:val="00E1071B"/>
    <w:rsid w:val="00E254F2"/>
    <w:rsid w:val="00E305C5"/>
    <w:rsid w:val="00E3110A"/>
    <w:rsid w:val="00E3556A"/>
    <w:rsid w:val="00E43EA6"/>
    <w:rsid w:val="00E51E34"/>
    <w:rsid w:val="00E6270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64FB"/>
    <w:rsid w:val="00ED71EA"/>
    <w:rsid w:val="00EF38B9"/>
    <w:rsid w:val="00F017F3"/>
    <w:rsid w:val="00F019B7"/>
    <w:rsid w:val="00F04E30"/>
    <w:rsid w:val="00F05717"/>
    <w:rsid w:val="00F1217E"/>
    <w:rsid w:val="00F34A1C"/>
    <w:rsid w:val="00F37D37"/>
    <w:rsid w:val="00F4441F"/>
    <w:rsid w:val="00F66B2D"/>
    <w:rsid w:val="00F7312D"/>
    <w:rsid w:val="00F74770"/>
    <w:rsid w:val="00F84695"/>
    <w:rsid w:val="00FA5944"/>
    <w:rsid w:val="00FD3C61"/>
    <w:rsid w:val="00FF11CB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8BA2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58303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rvts9">
    <w:name w:val="rvts9"/>
    <w:basedOn w:val="a0"/>
    <w:rsid w:val="0012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B6BF-0E1E-428C-8C0B-EDC06A8C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5879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2021-10-28T10:09:00Z</cp:lastPrinted>
  <dcterms:created xsi:type="dcterms:W3CDTF">2021-09-01T08:34:00Z</dcterms:created>
  <dcterms:modified xsi:type="dcterms:W3CDTF">2021-10-29T12:18:00Z</dcterms:modified>
</cp:coreProperties>
</file>